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60" w:rsidRPr="00444B47" w:rsidRDefault="001640FD" w:rsidP="00520B60">
      <w:pPr>
        <w:rPr>
          <w:b/>
          <w:sz w:val="28"/>
          <w:szCs w:val="28"/>
        </w:rPr>
      </w:pPr>
      <w:r>
        <w:rPr>
          <w:noProof/>
        </w:rPr>
        <mc:AlternateContent>
          <mc:Choice Requires="wps">
            <w:drawing>
              <wp:anchor distT="0" distB="0" distL="114300" distR="114300" simplePos="0" relativeHeight="251659264" behindDoc="0" locked="0" layoutInCell="1" allowOverlap="1" wp14:anchorId="1BA1937C" wp14:editId="20A3CA6D">
                <wp:simplePos x="0" y="0"/>
                <wp:positionH relativeFrom="margin">
                  <wp:align>left</wp:align>
                </wp:positionH>
                <wp:positionV relativeFrom="paragraph">
                  <wp:posOffset>-581660</wp:posOffset>
                </wp:positionV>
                <wp:extent cx="637222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372225" cy="55245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40FD" w:rsidRDefault="001640FD" w:rsidP="001640FD">
                            <w:bookmarkStart w:id="0" w:name="_GoBack"/>
                            <w:r>
                              <w:rPr>
                                <w:rFonts w:hint="eastAsia"/>
                              </w:rPr>
                              <w:t>※</w:t>
                            </w:r>
                            <w:r w:rsidRPr="00DD3B1D">
                              <w:rPr>
                                <w:rFonts w:hint="eastAsia"/>
                              </w:rPr>
                              <w:t>【運賃料金表様式例】及び【運賃料金適用方例】は、あくまで設定の例示であり、各社で設定する際は必要に応じ、内容を修正等したうえで行ってください。</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A1937C" id="_x0000_t202" coordsize="21600,21600" o:spt="202" path="m,l,21600r21600,l21600,xe">
                <v:stroke joinstyle="miter"/>
                <v:path gradientshapeok="t" o:connecttype="rect"/>
              </v:shapetype>
              <v:shape id="テキスト ボックス 1" o:spid="_x0000_s1026" type="#_x0000_t202" style="position:absolute;left:0;text-align:left;margin-left:0;margin-top:-45.8pt;width:501.75pt;height:43.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" fillcolor="#fabf8f [1945]" strokeweight=".5pt">
                <v:textbox>
                  <w:txbxContent>
                    <w:p w:rsidR="001640FD" w:rsidRDefault="001640FD" w:rsidP="001640FD">
                      <w:bookmarkStart w:id="1" w:name="_GoBack"/>
                      <w:r>
                        <w:rPr>
                          <w:rFonts w:hint="eastAsia"/>
                        </w:rPr>
                        <w:t>※</w:t>
                      </w:r>
                      <w:r w:rsidRPr="00DD3B1D">
                        <w:rPr>
                          <w:rFonts w:hint="eastAsia"/>
                        </w:rPr>
                        <w:t>【運賃料金表様式例】及び【運賃料金適用方例】は、あくまで設定の例示であり、各社で設定する際は必要に応じ、内容を修正等したうえで行ってください。</w:t>
                      </w:r>
                      <w:bookmarkEnd w:id="1"/>
                    </w:p>
                  </w:txbxContent>
                </v:textbox>
                <w10:wrap anchorx="margin"/>
              </v:shape>
            </w:pict>
          </mc:Fallback>
        </mc:AlternateContent>
      </w:r>
      <w:r w:rsidR="00520B60" w:rsidRPr="00444B47">
        <w:rPr>
          <w:rFonts w:hint="eastAsia"/>
          <w:b/>
          <w:sz w:val="28"/>
          <w:szCs w:val="28"/>
        </w:rPr>
        <w:t>Ⅳ　運賃割増率</w:t>
      </w:r>
    </w:p>
    <w:p w:rsidR="00520B60" w:rsidRPr="00444B47" w:rsidRDefault="00520B60" w:rsidP="00520B60">
      <w:pPr>
        <w:rPr>
          <w:szCs w:val="21"/>
        </w:rPr>
      </w:pPr>
    </w:p>
    <w:p w:rsidR="00520B60" w:rsidRPr="00444B47" w:rsidRDefault="00520B60" w:rsidP="00520B60">
      <w:pPr>
        <w:rPr>
          <w:b/>
          <w:szCs w:val="21"/>
        </w:rPr>
      </w:pPr>
      <w:r w:rsidRPr="00444B47">
        <w:rPr>
          <w:rFonts w:hint="eastAsia"/>
          <w:b/>
          <w:szCs w:val="21"/>
        </w:rPr>
        <w:t>（１）</w:t>
      </w:r>
      <w:r w:rsidR="00DF56A0" w:rsidRPr="00444B47">
        <w:rPr>
          <w:rFonts w:hint="eastAsia"/>
          <w:b/>
          <w:kern w:val="0"/>
          <w:szCs w:val="21"/>
        </w:rPr>
        <w:t>長</w:t>
      </w:r>
      <w:r w:rsidRPr="00444B47">
        <w:rPr>
          <w:rFonts w:hint="eastAsia"/>
          <w:b/>
          <w:kern w:val="0"/>
          <w:szCs w:val="21"/>
        </w:rPr>
        <w:t>大品割増</w:t>
      </w:r>
    </w:p>
    <w:p w:rsidR="00520B60" w:rsidRPr="00444B47" w:rsidRDefault="00520B60" w:rsidP="00520B60">
      <w:pPr>
        <w:rPr>
          <w:szCs w:val="21"/>
        </w:rPr>
      </w:pP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527"/>
        <w:gridCol w:w="4849"/>
      </w:tblGrid>
      <w:tr w:rsidR="00520B60" w:rsidRPr="00444B47" w:rsidTr="005B3730">
        <w:trPr>
          <w:trHeight w:val="627"/>
        </w:trPr>
        <w:tc>
          <w:tcPr>
            <w:tcW w:w="4631" w:type="dxa"/>
          </w:tcPr>
          <w:p w:rsidR="00520B60" w:rsidRPr="00444B47" w:rsidRDefault="00520B60" w:rsidP="005B3730">
            <w:pPr>
              <w:rPr>
                <w:szCs w:val="21"/>
              </w:rPr>
            </w:pPr>
            <w:r w:rsidRPr="00444B47">
              <w:rPr>
                <w:rFonts w:hint="eastAsia"/>
                <w:szCs w:val="21"/>
              </w:rPr>
              <w:t>１個の長さが２０メートル以上のもの、</w:t>
            </w:r>
          </w:p>
          <w:p w:rsidR="00520B60" w:rsidRPr="00444B47" w:rsidRDefault="00520B60" w:rsidP="005B3730">
            <w:pPr>
              <w:rPr>
                <w:szCs w:val="21"/>
              </w:rPr>
            </w:pPr>
            <w:r w:rsidRPr="00444B47">
              <w:rPr>
                <w:rFonts w:hint="eastAsia"/>
                <w:szCs w:val="21"/>
              </w:rPr>
              <w:t>又は幅３．５メートル以上のもの</w:t>
            </w:r>
          </w:p>
        </w:tc>
        <w:tc>
          <w:tcPr>
            <w:tcW w:w="4961" w:type="dxa"/>
          </w:tcPr>
          <w:p w:rsidR="00520B60" w:rsidRPr="00444B47" w:rsidRDefault="00520B60" w:rsidP="005B3730">
            <w:pPr>
              <w:rPr>
                <w:szCs w:val="21"/>
              </w:rPr>
            </w:pPr>
            <w:r w:rsidRPr="00444B47">
              <w:rPr>
                <w:rFonts w:hint="eastAsia"/>
                <w:szCs w:val="21"/>
              </w:rPr>
              <w:t>貨物の種別Ａの運賃率の６割以上の臨時の約束による。</w:t>
            </w:r>
          </w:p>
        </w:tc>
      </w:tr>
    </w:tbl>
    <w:p w:rsidR="00520B60" w:rsidRPr="00444B47" w:rsidRDefault="00520B60" w:rsidP="00520B60">
      <w:pPr>
        <w:rPr>
          <w:szCs w:val="21"/>
        </w:rPr>
      </w:pPr>
    </w:p>
    <w:p w:rsidR="00520B60" w:rsidRPr="00444B47" w:rsidRDefault="00520B60" w:rsidP="00520B60">
      <w:pPr>
        <w:rPr>
          <w:b/>
          <w:szCs w:val="21"/>
        </w:rPr>
      </w:pPr>
      <w:r w:rsidRPr="00444B47">
        <w:rPr>
          <w:rFonts w:hint="eastAsia"/>
          <w:b/>
          <w:szCs w:val="21"/>
        </w:rPr>
        <w:t>（２）</w:t>
      </w:r>
      <w:r w:rsidRPr="00444B47">
        <w:rPr>
          <w:rFonts w:hint="eastAsia"/>
          <w:b/>
          <w:spacing w:val="62"/>
          <w:kern w:val="0"/>
          <w:szCs w:val="21"/>
          <w:fitText w:val="1215" w:id="1513262848"/>
        </w:rPr>
        <w:t>冬期割</w:t>
      </w:r>
      <w:r w:rsidRPr="00444B47">
        <w:rPr>
          <w:rFonts w:hint="eastAsia"/>
          <w:b/>
          <w:kern w:val="0"/>
          <w:szCs w:val="21"/>
          <w:fitText w:val="1215" w:id="1513262848"/>
        </w:rPr>
        <w:t>増</w:t>
      </w:r>
    </w:p>
    <w:p w:rsidR="00520B60" w:rsidRPr="00444B47" w:rsidRDefault="00520B60" w:rsidP="00520B60">
      <w:pPr>
        <w:rPr>
          <w:szCs w:val="21"/>
        </w:rPr>
      </w:pPr>
    </w:p>
    <w:tbl>
      <w:tblPr>
        <w:tblW w:w="9300" w:type="dxa"/>
        <w:tblInd w:w="4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040"/>
        <w:gridCol w:w="2268"/>
        <w:gridCol w:w="992"/>
      </w:tblGrid>
      <w:tr w:rsidR="00444B47" w:rsidRPr="00444B47" w:rsidTr="005B3730">
        <w:trPr>
          <w:trHeight w:val="381"/>
        </w:trPr>
        <w:tc>
          <w:tcPr>
            <w:tcW w:w="6040" w:type="dxa"/>
          </w:tcPr>
          <w:p w:rsidR="00520B60" w:rsidRPr="00444B47" w:rsidRDefault="00520B60" w:rsidP="005B3730">
            <w:pPr>
              <w:jc w:val="center"/>
              <w:rPr>
                <w:szCs w:val="21"/>
              </w:rPr>
            </w:pPr>
            <w:r w:rsidRPr="00444B47">
              <w:rPr>
                <w:rFonts w:hint="eastAsia"/>
                <w:szCs w:val="21"/>
              </w:rPr>
              <w:t>地　　　　　　　　　　　域</w:t>
            </w:r>
          </w:p>
        </w:tc>
        <w:tc>
          <w:tcPr>
            <w:tcW w:w="2268" w:type="dxa"/>
          </w:tcPr>
          <w:p w:rsidR="00520B60" w:rsidRPr="00444B47" w:rsidRDefault="00520B60" w:rsidP="005B3730">
            <w:pPr>
              <w:jc w:val="center"/>
              <w:rPr>
                <w:szCs w:val="21"/>
              </w:rPr>
            </w:pPr>
            <w:r w:rsidRPr="00444B47">
              <w:rPr>
                <w:rFonts w:hint="eastAsia"/>
                <w:szCs w:val="21"/>
              </w:rPr>
              <w:t>期　　　間</w:t>
            </w:r>
          </w:p>
        </w:tc>
        <w:tc>
          <w:tcPr>
            <w:tcW w:w="992" w:type="dxa"/>
          </w:tcPr>
          <w:p w:rsidR="00520B60" w:rsidRPr="00444B47" w:rsidRDefault="00520B60" w:rsidP="005B3730">
            <w:pPr>
              <w:jc w:val="center"/>
              <w:rPr>
                <w:szCs w:val="21"/>
              </w:rPr>
            </w:pPr>
            <w:r w:rsidRPr="00444B47">
              <w:rPr>
                <w:rFonts w:hint="eastAsia"/>
                <w:szCs w:val="21"/>
              </w:rPr>
              <w:t>割増率</w:t>
            </w:r>
          </w:p>
        </w:tc>
      </w:tr>
      <w:tr w:rsidR="00444B47" w:rsidRPr="00444B47" w:rsidTr="005B3730">
        <w:trPr>
          <w:trHeight w:val="695"/>
        </w:trPr>
        <w:tc>
          <w:tcPr>
            <w:tcW w:w="6040" w:type="dxa"/>
          </w:tcPr>
          <w:p w:rsidR="00520B60" w:rsidRPr="00444B47" w:rsidRDefault="00520B60" w:rsidP="005B3730">
            <w:pPr>
              <w:spacing w:line="480" w:lineRule="auto"/>
              <w:rPr>
                <w:szCs w:val="21"/>
              </w:rPr>
            </w:pPr>
            <w:r w:rsidRPr="00444B47">
              <w:rPr>
                <w:rFonts w:hint="eastAsia"/>
                <w:szCs w:val="21"/>
              </w:rPr>
              <w:t>北　　海　　道</w:t>
            </w:r>
          </w:p>
        </w:tc>
        <w:tc>
          <w:tcPr>
            <w:tcW w:w="2268" w:type="dxa"/>
          </w:tcPr>
          <w:p w:rsidR="00520B60" w:rsidRPr="00444B47" w:rsidRDefault="00520B60" w:rsidP="005B3730">
            <w:pPr>
              <w:jc w:val="center"/>
              <w:rPr>
                <w:rFonts w:ascii="ＭＳ 明朝" w:hAnsi="ＭＳ 明朝"/>
                <w:szCs w:val="21"/>
              </w:rPr>
            </w:pPr>
            <w:r w:rsidRPr="00444B47">
              <w:rPr>
                <w:rFonts w:hint="eastAsia"/>
                <w:szCs w:val="21"/>
              </w:rPr>
              <w:t xml:space="preserve">自　</w:t>
            </w:r>
            <w:r w:rsidRPr="00444B47">
              <w:rPr>
                <w:rFonts w:ascii="ＭＳ 明朝" w:hAnsi="ＭＳ 明朝" w:hint="eastAsia"/>
                <w:szCs w:val="21"/>
              </w:rPr>
              <w:t>１１月１６日</w:t>
            </w:r>
          </w:p>
          <w:p w:rsidR="00520B60" w:rsidRPr="00444B47" w:rsidRDefault="00520B60" w:rsidP="005B3730">
            <w:pPr>
              <w:jc w:val="center"/>
              <w:rPr>
                <w:szCs w:val="21"/>
              </w:rPr>
            </w:pPr>
            <w:r w:rsidRPr="00444B47">
              <w:rPr>
                <w:rFonts w:ascii="ＭＳ 明朝" w:hAnsi="ＭＳ 明朝" w:hint="eastAsia"/>
                <w:szCs w:val="21"/>
              </w:rPr>
              <w:t>至　 ４ 月１５日</w:t>
            </w:r>
          </w:p>
        </w:tc>
        <w:tc>
          <w:tcPr>
            <w:tcW w:w="992" w:type="dxa"/>
            <w:vMerge w:val="restart"/>
          </w:tcPr>
          <w:p w:rsidR="00520B60" w:rsidRPr="00444B47" w:rsidRDefault="00520B60" w:rsidP="005B3730">
            <w:pPr>
              <w:rPr>
                <w:szCs w:val="21"/>
              </w:rPr>
            </w:pPr>
          </w:p>
          <w:p w:rsidR="00520B60" w:rsidRPr="00444B47" w:rsidRDefault="00520B60" w:rsidP="005B3730">
            <w:pPr>
              <w:rPr>
                <w:szCs w:val="21"/>
              </w:rPr>
            </w:pPr>
          </w:p>
          <w:p w:rsidR="00520B60" w:rsidRPr="00444B47" w:rsidRDefault="00520B60" w:rsidP="005B3730">
            <w:pPr>
              <w:rPr>
                <w:szCs w:val="21"/>
              </w:rPr>
            </w:pPr>
          </w:p>
          <w:p w:rsidR="00520B60" w:rsidRPr="00444B47" w:rsidRDefault="00520B60" w:rsidP="005B3730">
            <w:pPr>
              <w:rPr>
                <w:szCs w:val="21"/>
              </w:rPr>
            </w:pPr>
          </w:p>
          <w:p w:rsidR="00520B60" w:rsidRPr="00444B47" w:rsidRDefault="00520B60" w:rsidP="005B3730">
            <w:pPr>
              <w:spacing w:line="480" w:lineRule="auto"/>
              <w:jc w:val="center"/>
              <w:rPr>
                <w:szCs w:val="21"/>
              </w:rPr>
            </w:pPr>
            <w:r w:rsidRPr="00444B47">
              <w:rPr>
                <w:rFonts w:hint="eastAsia"/>
                <w:szCs w:val="21"/>
              </w:rPr>
              <w:t>２　割</w:t>
            </w:r>
          </w:p>
        </w:tc>
      </w:tr>
      <w:tr w:rsidR="00520B60" w:rsidRPr="00444B47" w:rsidTr="005B3730">
        <w:trPr>
          <w:trHeight w:val="2640"/>
        </w:trPr>
        <w:tc>
          <w:tcPr>
            <w:tcW w:w="6040" w:type="dxa"/>
          </w:tcPr>
          <w:p w:rsidR="00520B60" w:rsidRPr="00444B47" w:rsidRDefault="00520B60" w:rsidP="005B3730">
            <w:pPr>
              <w:rPr>
                <w:szCs w:val="21"/>
              </w:rPr>
            </w:pPr>
            <w:r w:rsidRPr="00444B47">
              <w:rPr>
                <w:rFonts w:hint="eastAsia"/>
                <w:szCs w:val="21"/>
              </w:rPr>
              <w:t>青森県・秋田県・山形県・新潟県・長野県・富山県・石川県・　福井県・鳥取県・島根県の全県</w:t>
            </w:r>
          </w:p>
          <w:p w:rsidR="00520B60" w:rsidRPr="00444B47" w:rsidRDefault="00520B60" w:rsidP="005B3730">
            <w:pPr>
              <w:rPr>
                <w:szCs w:val="21"/>
              </w:rPr>
            </w:pPr>
            <w:r w:rsidRPr="00444B47">
              <w:rPr>
                <w:rFonts w:hint="eastAsia"/>
                <w:szCs w:val="21"/>
              </w:rPr>
              <w:t>岩手県のうち、北上市・久慈市・遠野市・二戸市・九戸郡・二戸郡・上閉伊郡・下閉伊郡・岩手郡・和賀郡</w:t>
            </w:r>
          </w:p>
          <w:p w:rsidR="00520B60" w:rsidRPr="00444B47" w:rsidRDefault="00DF56A0" w:rsidP="005B3730">
            <w:pPr>
              <w:rPr>
                <w:szCs w:val="21"/>
              </w:rPr>
            </w:pPr>
            <w:r w:rsidRPr="00444B47">
              <w:rPr>
                <w:rFonts w:hint="eastAsia"/>
                <w:szCs w:val="21"/>
              </w:rPr>
              <w:t>福島県のうち、会津若松市</w:t>
            </w:r>
            <w:r w:rsidR="00520B60" w:rsidRPr="00444B47">
              <w:rPr>
                <w:rFonts w:hint="eastAsia"/>
                <w:szCs w:val="21"/>
              </w:rPr>
              <w:t>・喜多方市・南会津郡・北会津郡・耶麻郡・大沼郡・河沼郡</w:t>
            </w:r>
          </w:p>
          <w:p w:rsidR="00520B60" w:rsidRPr="00444B47" w:rsidRDefault="00520B60" w:rsidP="005B3730">
            <w:pPr>
              <w:rPr>
                <w:szCs w:val="21"/>
              </w:rPr>
            </w:pPr>
            <w:r w:rsidRPr="00444B47">
              <w:rPr>
                <w:rFonts w:hint="eastAsia"/>
                <w:szCs w:val="21"/>
              </w:rPr>
              <w:t>岐阜県のうち、高山市・大野郡・吉城郡・益田郡・郡上郡</w:t>
            </w:r>
          </w:p>
        </w:tc>
        <w:tc>
          <w:tcPr>
            <w:tcW w:w="2268" w:type="dxa"/>
          </w:tcPr>
          <w:p w:rsidR="00520B60" w:rsidRPr="00444B47" w:rsidRDefault="00520B60" w:rsidP="005B3730">
            <w:pPr>
              <w:rPr>
                <w:szCs w:val="21"/>
              </w:rPr>
            </w:pPr>
          </w:p>
          <w:p w:rsidR="00520B60" w:rsidRPr="00444B47" w:rsidRDefault="00520B60" w:rsidP="005B3730">
            <w:pPr>
              <w:rPr>
                <w:szCs w:val="21"/>
              </w:rPr>
            </w:pPr>
          </w:p>
          <w:p w:rsidR="00520B60" w:rsidRPr="00444B47" w:rsidRDefault="00520B60" w:rsidP="005B3730">
            <w:pPr>
              <w:jc w:val="center"/>
              <w:rPr>
                <w:szCs w:val="21"/>
              </w:rPr>
            </w:pPr>
            <w:r w:rsidRPr="00444B47">
              <w:rPr>
                <w:rFonts w:hint="eastAsia"/>
                <w:szCs w:val="21"/>
              </w:rPr>
              <w:t>自　１２月</w:t>
            </w:r>
            <w:r w:rsidRPr="00444B47">
              <w:rPr>
                <w:rFonts w:hint="eastAsia"/>
                <w:szCs w:val="21"/>
              </w:rPr>
              <w:t xml:space="preserve"> </w:t>
            </w:r>
            <w:r w:rsidRPr="00444B47">
              <w:rPr>
                <w:rFonts w:hint="eastAsia"/>
                <w:szCs w:val="21"/>
              </w:rPr>
              <w:t>１</w:t>
            </w:r>
            <w:r w:rsidRPr="00444B47">
              <w:rPr>
                <w:rFonts w:hint="eastAsia"/>
                <w:szCs w:val="21"/>
              </w:rPr>
              <w:t xml:space="preserve"> </w:t>
            </w:r>
            <w:r w:rsidRPr="00444B47">
              <w:rPr>
                <w:rFonts w:hint="eastAsia"/>
                <w:szCs w:val="21"/>
              </w:rPr>
              <w:t>日</w:t>
            </w:r>
          </w:p>
          <w:p w:rsidR="00520B60" w:rsidRPr="00444B47" w:rsidRDefault="00520B60" w:rsidP="005B3730">
            <w:pPr>
              <w:rPr>
                <w:szCs w:val="21"/>
              </w:rPr>
            </w:pPr>
          </w:p>
          <w:p w:rsidR="00520B60" w:rsidRPr="00444B47" w:rsidRDefault="00520B60" w:rsidP="005B3730">
            <w:pPr>
              <w:rPr>
                <w:szCs w:val="21"/>
              </w:rPr>
            </w:pPr>
          </w:p>
          <w:p w:rsidR="00520B60" w:rsidRPr="00444B47" w:rsidRDefault="00520B60" w:rsidP="005B3730">
            <w:pPr>
              <w:jc w:val="center"/>
              <w:rPr>
                <w:szCs w:val="21"/>
              </w:rPr>
            </w:pPr>
            <w:r w:rsidRPr="00444B47">
              <w:rPr>
                <w:rFonts w:hint="eastAsia"/>
                <w:szCs w:val="21"/>
              </w:rPr>
              <w:t xml:space="preserve">至　</w:t>
            </w:r>
            <w:r w:rsidRPr="00444B47">
              <w:rPr>
                <w:rFonts w:hint="eastAsia"/>
                <w:szCs w:val="21"/>
              </w:rPr>
              <w:t xml:space="preserve"> </w:t>
            </w:r>
            <w:r w:rsidRPr="00444B47">
              <w:rPr>
                <w:rFonts w:hint="eastAsia"/>
                <w:szCs w:val="21"/>
              </w:rPr>
              <w:t>３</w:t>
            </w:r>
            <w:r w:rsidRPr="00444B47">
              <w:rPr>
                <w:rFonts w:hint="eastAsia"/>
                <w:szCs w:val="21"/>
              </w:rPr>
              <w:t xml:space="preserve"> </w:t>
            </w:r>
            <w:r w:rsidRPr="00444B47">
              <w:rPr>
                <w:rFonts w:hint="eastAsia"/>
                <w:szCs w:val="21"/>
              </w:rPr>
              <w:t>月３１日</w:t>
            </w:r>
          </w:p>
        </w:tc>
        <w:tc>
          <w:tcPr>
            <w:tcW w:w="992" w:type="dxa"/>
            <w:vMerge/>
          </w:tcPr>
          <w:p w:rsidR="00520B60" w:rsidRPr="00444B47" w:rsidRDefault="00520B60" w:rsidP="005B3730">
            <w:pPr>
              <w:spacing w:line="480" w:lineRule="auto"/>
              <w:jc w:val="center"/>
              <w:rPr>
                <w:szCs w:val="21"/>
              </w:rPr>
            </w:pPr>
          </w:p>
        </w:tc>
      </w:tr>
    </w:tbl>
    <w:p w:rsidR="00520B60" w:rsidRPr="00444B47" w:rsidRDefault="00520B60" w:rsidP="00520B60">
      <w:pPr>
        <w:rPr>
          <w:szCs w:val="21"/>
        </w:rPr>
      </w:pPr>
    </w:p>
    <w:p w:rsidR="00520B60" w:rsidRPr="00444B47" w:rsidRDefault="00520B60" w:rsidP="00520B60">
      <w:pPr>
        <w:rPr>
          <w:b/>
          <w:szCs w:val="21"/>
        </w:rPr>
      </w:pPr>
      <w:r w:rsidRPr="00444B47">
        <w:rPr>
          <w:rFonts w:hint="eastAsia"/>
          <w:b/>
          <w:szCs w:val="21"/>
        </w:rPr>
        <w:t>（３）</w:t>
      </w:r>
      <w:r w:rsidRPr="00444B47">
        <w:rPr>
          <w:rFonts w:hint="eastAsia"/>
          <w:b/>
          <w:spacing w:val="62"/>
          <w:kern w:val="0"/>
          <w:szCs w:val="21"/>
          <w:fitText w:val="1215" w:id="1513262849"/>
        </w:rPr>
        <w:t>休日割</w:t>
      </w:r>
      <w:r w:rsidRPr="00444B47">
        <w:rPr>
          <w:rFonts w:hint="eastAsia"/>
          <w:b/>
          <w:kern w:val="0"/>
          <w:szCs w:val="21"/>
          <w:fitText w:val="1215" w:id="1513262849"/>
        </w:rPr>
        <w:t>増</w:t>
      </w:r>
    </w:p>
    <w:p w:rsidR="00520B60" w:rsidRPr="00444B47" w:rsidRDefault="00520B60" w:rsidP="00520B60">
      <w:pPr>
        <w:rPr>
          <w:szCs w:val="21"/>
        </w:rPr>
      </w:pPr>
    </w:p>
    <w:tbl>
      <w:tblPr>
        <w:tblW w:w="0" w:type="auto"/>
        <w:tblInd w:w="4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190"/>
        <w:gridCol w:w="1765"/>
      </w:tblGrid>
      <w:tr w:rsidR="00520B60" w:rsidRPr="00444B47" w:rsidTr="005B3730">
        <w:trPr>
          <w:trHeight w:val="416"/>
        </w:trPr>
        <w:tc>
          <w:tcPr>
            <w:tcW w:w="5190" w:type="dxa"/>
          </w:tcPr>
          <w:p w:rsidR="00520B60" w:rsidRPr="00444B47" w:rsidRDefault="00520B60" w:rsidP="005B3730">
            <w:pPr>
              <w:spacing w:line="480" w:lineRule="auto"/>
              <w:rPr>
                <w:szCs w:val="21"/>
              </w:rPr>
            </w:pPr>
            <w:r w:rsidRPr="00444B47">
              <w:rPr>
                <w:rFonts w:hint="eastAsia"/>
                <w:szCs w:val="21"/>
              </w:rPr>
              <w:t>日曜祝祭日に運送した距離に限る</w:t>
            </w:r>
          </w:p>
        </w:tc>
        <w:tc>
          <w:tcPr>
            <w:tcW w:w="1765" w:type="dxa"/>
          </w:tcPr>
          <w:p w:rsidR="00520B60" w:rsidRPr="00444B47" w:rsidRDefault="00520B60" w:rsidP="005B3730">
            <w:pPr>
              <w:spacing w:line="480" w:lineRule="auto"/>
              <w:jc w:val="center"/>
              <w:rPr>
                <w:szCs w:val="21"/>
              </w:rPr>
            </w:pPr>
            <w:r w:rsidRPr="00444B47">
              <w:rPr>
                <w:rFonts w:hint="eastAsia"/>
                <w:szCs w:val="21"/>
              </w:rPr>
              <w:t>２　　割</w:t>
            </w:r>
          </w:p>
        </w:tc>
      </w:tr>
    </w:tbl>
    <w:p w:rsidR="00520B60" w:rsidRPr="00444B47" w:rsidRDefault="00520B60" w:rsidP="00520B60">
      <w:pPr>
        <w:rPr>
          <w:szCs w:val="21"/>
        </w:rPr>
      </w:pPr>
    </w:p>
    <w:p w:rsidR="00520B60" w:rsidRPr="00444B47" w:rsidRDefault="00520B60" w:rsidP="00520B60">
      <w:pPr>
        <w:rPr>
          <w:b/>
          <w:szCs w:val="21"/>
        </w:rPr>
      </w:pPr>
      <w:r w:rsidRPr="00444B47">
        <w:rPr>
          <w:rFonts w:hint="eastAsia"/>
          <w:b/>
          <w:szCs w:val="21"/>
        </w:rPr>
        <w:t>（４）深夜・早朝割増</w:t>
      </w:r>
    </w:p>
    <w:p w:rsidR="00520B60" w:rsidRPr="00444B47" w:rsidRDefault="00520B60" w:rsidP="00520B60">
      <w:pPr>
        <w:rPr>
          <w:szCs w:val="21"/>
        </w:rPr>
      </w:pPr>
    </w:p>
    <w:tbl>
      <w:tblPr>
        <w:tblW w:w="0" w:type="auto"/>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160"/>
        <w:gridCol w:w="1842"/>
      </w:tblGrid>
      <w:tr w:rsidR="00520B60" w:rsidRPr="00444B47" w:rsidTr="005B3730">
        <w:trPr>
          <w:trHeight w:val="454"/>
        </w:trPr>
        <w:tc>
          <w:tcPr>
            <w:tcW w:w="5160" w:type="dxa"/>
          </w:tcPr>
          <w:p w:rsidR="00520B60" w:rsidRPr="00444B47" w:rsidRDefault="00520B60" w:rsidP="005B3730">
            <w:pPr>
              <w:spacing w:line="480" w:lineRule="auto"/>
              <w:rPr>
                <w:szCs w:val="21"/>
              </w:rPr>
            </w:pPr>
            <w:r w:rsidRPr="00444B47">
              <w:rPr>
                <w:rFonts w:hint="eastAsia"/>
                <w:szCs w:val="21"/>
              </w:rPr>
              <w:t>午後１０時から午前５時までに運送した距離</w:t>
            </w:r>
          </w:p>
        </w:tc>
        <w:tc>
          <w:tcPr>
            <w:tcW w:w="1842" w:type="dxa"/>
          </w:tcPr>
          <w:p w:rsidR="00520B60" w:rsidRPr="00444B47" w:rsidRDefault="00520B60" w:rsidP="005B3730">
            <w:pPr>
              <w:spacing w:line="480" w:lineRule="auto"/>
              <w:jc w:val="center"/>
              <w:rPr>
                <w:szCs w:val="21"/>
              </w:rPr>
            </w:pPr>
            <w:r w:rsidRPr="00444B47">
              <w:rPr>
                <w:rFonts w:hint="eastAsia"/>
                <w:szCs w:val="21"/>
              </w:rPr>
              <w:t>３　　割</w:t>
            </w:r>
          </w:p>
        </w:tc>
      </w:tr>
    </w:tbl>
    <w:p w:rsidR="00520B60" w:rsidRPr="00444B47" w:rsidRDefault="00520B60" w:rsidP="00520B60">
      <w:pPr>
        <w:rPr>
          <w:szCs w:val="21"/>
        </w:rPr>
      </w:pPr>
    </w:p>
    <w:p w:rsidR="00520B60" w:rsidRPr="00444B47" w:rsidRDefault="00520B60" w:rsidP="00520B60">
      <w:pPr>
        <w:rPr>
          <w:szCs w:val="21"/>
        </w:rPr>
      </w:pPr>
    </w:p>
    <w:p w:rsidR="00520B60" w:rsidRPr="00444B47" w:rsidRDefault="00520B60" w:rsidP="00520B60">
      <w:pPr>
        <w:rPr>
          <w:b/>
          <w:szCs w:val="21"/>
        </w:rPr>
      </w:pPr>
      <w:r w:rsidRPr="00444B47">
        <w:rPr>
          <w:rFonts w:hint="eastAsia"/>
          <w:b/>
          <w:sz w:val="28"/>
          <w:szCs w:val="28"/>
        </w:rPr>
        <w:t>Ⅳ　消費税及び地方消費税の加算</w:t>
      </w:r>
      <w:r w:rsidRPr="00444B47">
        <w:rPr>
          <w:rFonts w:hint="eastAsia"/>
          <w:b/>
          <w:szCs w:val="21"/>
        </w:rPr>
        <w:t>（免税対象となる取引は除く。）</w:t>
      </w:r>
    </w:p>
    <w:p w:rsidR="00520B60" w:rsidRPr="00444B47" w:rsidRDefault="00520B60" w:rsidP="00520B60">
      <w:pPr>
        <w:rPr>
          <w:szCs w:val="21"/>
        </w:rPr>
      </w:pPr>
      <w:r w:rsidRPr="00444B47">
        <w:rPr>
          <w:rFonts w:hint="eastAsia"/>
          <w:szCs w:val="21"/>
        </w:rPr>
        <w:t xml:space="preserve">　　運賃料金総額×消費税法等に基づく税率</w:t>
      </w:r>
    </w:p>
    <w:p w:rsidR="00520B60" w:rsidRPr="00444B47" w:rsidRDefault="00520B60" w:rsidP="00520B60">
      <w:pPr>
        <w:rPr>
          <w:szCs w:val="21"/>
        </w:rPr>
      </w:pPr>
    </w:p>
    <w:p w:rsidR="00520B60" w:rsidRPr="00444B47" w:rsidRDefault="00520B60" w:rsidP="00520B60">
      <w:pPr>
        <w:rPr>
          <w:szCs w:val="21"/>
        </w:rPr>
      </w:pPr>
    </w:p>
    <w:p w:rsidR="00520B60" w:rsidRPr="00444B47" w:rsidRDefault="00520B60" w:rsidP="00520B60">
      <w:pPr>
        <w:rPr>
          <w:b/>
          <w:sz w:val="28"/>
          <w:szCs w:val="28"/>
        </w:rPr>
      </w:pPr>
      <w:r w:rsidRPr="00444B47">
        <w:rPr>
          <w:rFonts w:hint="eastAsia"/>
          <w:b/>
          <w:sz w:val="28"/>
          <w:szCs w:val="28"/>
        </w:rPr>
        <w:t>Ⅴ　運賃料金適用方</w:t>
      </w:r>
    </w:p>
    <w:p w:rsidR="00520B60" w:rsidRPr="00444B47" w:rsidRDefault="00520B60" w:rsidP="00520B60">
      <w:pPr>
        <w:rPr>
          <w:szCs w:val="21"/>
        </w:rPr>
      </w:pPr>
    </w:p>
    <w:p w:rsidR="00520B60" w:rsidRPr="00444B47" w:rsidRDefault="00520B60" w:rsidP="00520B60">
      <w:pPr>
        <w:overflowPunct w:val="0"/>
        <w:ind w:firstLineChars="100" w:firstLine="242"/>
        <w:textAlignment w:val="baseline"/>
        <w:rPr>
          <w:rFonts w:ascii="ＭＳ 明朝" w:hAnsi="Times New Roman"/>
          <w:spacing w:val="2"/>
          <w:kern w:val="0"/>
          <w:szCs w:val="21"/>
        </w:rPr>
      </w:pPr>
      <w:r w:rsidRPr="00444B47">
        <w:rPr>
          <w:rFonts w:ascii="Times New Roman" w:hAnsi="Times New Roman" w:cs="ＭＳ 明朝" w:hint="eastAsia"/>
          <w:kern w:val="0"/>
          <w:szCs w:val="21"/>
        </w:rPr>
        <w:t>（運賃料金の適用）</w:t>
      </w:r>
    </w:p>
    <w:p w:rsidR="00520B60" w:rsidRPr="00444B47" w:rsidRDefault="00C17874" w:rsidP="00C17874">
      <w:pPr>
        <w:overflowPunct w:val="0"/>
        <w:ind w:left="242" w:hangingChars="100" w:hanging="242"/>
        <w:textAlignment w:val="baseline"/>
        <w:rPr>
          <w:rFonts w:ascii="Times New Roman" w:hAnsi="Times New Roman" w:cs="ＭＳ 明朝"/>
          <w:kern w:val="0"/>
          <w:szCs w:val="21"/>
        </w:rPr>
      </w:pPr>
      <w:r w:rsidRPr="00444B47">
        <w:rPr>
          <w:rFonts w:ascii="Times New Roman" w:hAnsi="Times New Roman" w:cs="ＭＳ 明朝"/>
          <w:kern w:val="0"/>
          <w:szCs w:val="21"/>
        </w:rPr>
        <w:t>1</w:t>
      </w:r>
      <w:r w:rsidRPr="00444B47">
        <w:rPr>
          <w:rFonts w:ascii="Times New Roman" w:hAnsi="Times New Roman" w:cs="ＭＳ 明朝" w:hint="eastAsia"/>
          <w:kern w:val="0"/>
          <w:szCs w:val="21"/>
        </w:rPr>
        <w:t xml:space="preserve">　この運賃料金は</w:t>
      </w:r>
      <w:r w:rsidR="00520B60" w:rsidRPr="00444B47">
        <w:rPr>
          <w:rFonts w:ascii="Times New Roman" w:hAnsi="Times New Roman" w:cs="ＭＳ 明朝" w:hint="eastAsia"/>
          <w:kern w:val="0"/>
          <w:szCs w:val="21"/>
        </w:rPr>
        <w:t>専用車両により鋼材を輸送する場合に適用します。</w:t>
      </w:r>
    </w:p>
    <w:p w:rsidR="00C17874" w:rsidRPr="00444B47" w:rsidRDefault="00C17874" w:rsidP="00C17874">
      <w:pPr>
        <w:overflowPunct w:val="0"/>
        <w:ind w:leftChars="100" w:left="242"/>
        <w:textAlignment w:val="baseline"/>
        <w:rPr>
          <w:rFonts w:ascii="ＭＳ 明朝" w:hAnsi="Times New Roman"/>
          <w:spacing w:val="2"/>
          <w:kern w:val="0"/>
          <w:szCs w:val="21"/>
        </w:rPr>
      </w:pPr>
      <w:r w:rsidRPr="00444B47">
        <w:rPr>
          <w:rFonts w:ascii="ＭＳ 明朝" w:hAnsi="Times New Roman" w:hint="eastAsia"/>
          <w:spacing w:val="2"/>
          <w:kern w:val="0"/>
          <w:szCs w:val="21"/>
        </w:rPr>
        <w:lastRenderedPageBreak/>
        <w:t>（</w:t>
      </w:r>
      <w:r w:rsidRPr="00444B47">
        <w:rPr>
          <w:rFonts w:ascii="Times New Roman" w:hAnsi="Times New Roman" w:cs="ＭＳ 明朝"/>
          <w:kern w:val="0"/>
          <w:szCs w:val="21"/>
        </w:rPr>
        <w:t>1</w:t>
      </w:r>
      <w:r w:rsidR="00520B60" w:rsidRPr="00444B47">
        <w:rPr>
          <w:rFonts w:ascii="ＭＳ 明朝" w:hAnsi="Times New Roman" w:hint="eastAsia"/>
          <w:spacing w:val="2"/>
          <w:kern w:val="0"/>
          <w:szCs w:val="21"/>
        </w:rPr>
        <w:t>）鋼材とは、鋼板（コイルを含む）、条鋼、線材（バーインコイルを含む）、形鋼、</w:t>
      </w:r>
    </w:p>
    <w:p w:rsidR="00520B60" w:rsidRPr="00444B47" w:rsidRDefault="00520B60" w:rsidP="00C17874">
      <w:pPr>
        <w:overflowPunct w:val="0"/>
        <w:ind w:leftChars="100" w:left="242" w:firstLineChars="200" w:firstLine="493"/>
        <w:textAlignment w:val="baseline"/>
        <w:rPr>
          <w:rFonts w:ascii="Times New Roman" w:hAnsi="Times New Roman" w:cs="ＭＳ 明朝"/>
          <w:kern w:val="0"/>
          <w:szCs w:val="21"/>
        </w:rPr>
      </w:pPr>
      <w:r w:rsidRPr="00444B47">
        <w:rPr>
          <w:rFonts w:ascii="ＭＳ 明朝" w:hAnsi="Times New Roman" w:hint="eastAsia"/>
          <w:spacing w:val="2"/>
          <w:kern w:val="0"/>
          <w:szCs w:val="21"/>
        </w:rPr>
        <w:t>鋼管、銑鉄、半成品をいいます。</w:t>
      </w:r>
    </w:p>
    <w:p w:rsidR="00C17874" w:rsidRPr="00444B47" w:rsidRDefault="00520B60" w:rsidP="00C17874">
      <w:pPr>
        <w:overflowPunct w:val="0"/>
        <w:ind w:leftChars="100" w:left="488" w:hangingChars="100" w:hanging="246"/>
        <w:textAlignment w:val="baseline"/>
        <w:rPr>
          <w:rFonts w:ascii="ＭＳ 明朝" w:hAnsi="Times New Roman"/>
          <w:spacing w:val="2"/>
          <w:kern w:val="0"/>
          <w:szCs w:val="21"/>
        </w:rPr>
      </w:pPr>
      <w:r w:rsidRPr="00444B47">
        <w:rPr>
          <w:rFonts w:ascii="ＭＳ 明朝" w:hAnsi="Times New Roman" w:hint="eastAsia"/>
          <w:spacing w:val="2"/>
          <w:kern w:val="0"/>
          <w:szCs w:val="21"/>
        </w:rPr>
        <w:t>（</w:t>
      </w:r>
      <w:r w:rsidR="00C17874" w:rsidRPr="00444B47">
        <w:rPr>
          <w:rFonts w:ascii="Times New Roman" w:hAnsi="Times New Roman" w:cs="ＭＳ 明朝" w:hint="eastAsia"/>
          <w:kern w:val="0"/>
          <w:szCs w:val="21"/>
        </w:rPr>
        <w:t>2</w:t>
      </w:r>
      <w:r w:rsidRPr="00444B47">
        <w:rPr>
          <w:rFonts w:ascii="ＭＳ 明朝" w:hAnsi="Times New Roman" w:hint="eastAsia"/>
          <w:spacing w:val="2"/>
          <w:kern w:val="0"/>
          <w:szCs w:val="21"/>
        </w:rPr>
        <w:t>）専用車両とは、鋼材を輸送するポールトレーラ、トレーラ及び特別の装備を施し</w:t>
      </w:r>
    </w:p>
    <w:p w:rsidR="00520B60" w:rsidRPr="00444B47" w:rsidRDefault="00520B60" w:rsidP="00C17874">
      <w:pPr>
        <w:overflowPunct w:val="0"/>
        <w:ind w:leftChars="200" w:left="485" w:firstLineChars="100" w:firstLine="246"/>
        <w:textAlignment w:val="baseline"/>
        <w:rPr>
          <w:rFonts w:ascii="ＭＳ 明朝" w:hAnsi="Times New Roman"/>
          <w:spacing w:val="2"/>
          <w:kern w:val="0"/>
          <w:szCs w:val="21"/>
        </w:rPr>
      </w:pPr>
      <w:r w:rsidRPr="00444B47">
        <w:rPr>
          <w:rFonts w:ascii="ＭＳ 明朝" w:hAnsi="Times New Roman" w:hint="eastAsia"/>
          <w:spacing w:val="2"/>
          <w:kern w:val="0"/>
          <w:szCs w:val="21"/>
        </w:rPr>
        <w:t>た車両をいいます。</w:t>
      </w:r>
    </w:p>
    <w:p w:rsidR="00520B60" w:rsidRPr="00444B47" w:rsidRDefault="00520B60" w:rsidP="00520B60">
      <w:pPr>
        <w:overflowPunct w:val="0"/>
        <w:ind w:left="493" w:hangingChars="200" w:hanging="493"/>
        <w:textAlignment w:val="baseline"/>
        <w:rPr>
          <w:rFonts w:ascii="ＭＳ 明朝" w:hAnsi="Times New Roman"/>
          <w:spacing w:val="2"/>
          <w:kern w:val="0"/>
          <w:szCs w:val="21"/>
        </w:rPr>
      </w:pPr>
    </w:p>
    <w:p w:rsidR="00520B60" w:rsidRPr="00444B47" w:rsidRDefault="00520B60" w:rsidP="00520B60">
      <w:pPr>
        <w:overflowPunct w:val="0"/>
        <w:ind w:firstLineChars="100" w:firstLine="242"/>
        <w:textAlignment w:val="baseline"/>
        <w:rPr>
          <w:rFonts w:ascii="ＭＳ 明朝" w:hAnsi="Times New Roman"/>
          <w:spacing w:val="2"/>
          <w:kern w:val="0"/>
          <w:szCs w:val="21"/>
        </w:rPr>
      </w:pPr>
      <w:r w:rsidRPr="00444B47">
        <w:rPr>
          <w:rFonts w:ascii="Times New Roman" w:hAnsi="Times New Roman" w:cs="ＭＳ 明朝" w:hint="eastAsia"/>
          <w:kern w:val="0"/>
          <w:szCs w:val="21"/>
        </w:rPr>
        <w:t>（運賃料金計算の基本）</w:t>
      </w:r>
    </w:p>
    <w:p w:rsidR="00520B60" w:rsidRPr="00444B47" w:rsidRDefault="00C17874" w:rsidP="00520B60">
      <w:pPr>
        <w:overflowPunct w:val="0"/>
        <w:ind w:left="242" w:hangingChars="100" w:hanging="242"/>
        <w:textAlignment w:val="baseline"/>
        <w:rPr>
          <w:rFonts w:ascii="Times New Roman" w:hAnsi="Times New Roman" w:cs="ＭＳ 明朝"/>
          <w:kern w:val="0"/>
          <w:szCs w:val="21"/>
        </w:rPr>
      </w:pPr>
      <w:r w:rsidRPr="00444B47">
        <w:rPr>
          <w:rFonts w:ascii="Times New Roman" w:hAnsi="Times New Roman" w:cs="ＭＳ 明朝"/>
          <w:kern w:val="0"/>
          <w:szCs w:val="21"/>
        </w:rPr>
        <w:t>2</w:t>
      </w:r>
      <w:r w:rsidRPr="00444B47">
        <w:rPr>
          <w:rFonts w:ascii="Times New Roman" w:hAnsi="Times New Roman" w:cs="ＭＳ 明朝" w:hint="eastAsia"/>
          <w:kern w:val="0"/>
          <w:szCs w:val="21"/>
        </w:rPr>
        <w:t xml:space="preserve">　</w:t>
      </w:r>
      <w:r w:rsidR="00520B60" w:rsidRPr="00444B47">
        <w:rPr>
          <w:rFonts w:ascii="Times New Roman" w:hAnsi="Times New Roman" w:cs="ＭＳ 明朝" w:hint="eastAsia"/>
          <w:kern w:val="0"/>
          <w:szCs w:val="21"/>
        </w:rPr>
        <w:t>運賃は運賃率表に掲げてある金額又は、これに割増率もしくは割引率を乗じた金額　　　　を運賃率表に掲げてある金額に加減した金額の上下それぞれ１０パーセントの範囲内とします。</w:t>
      </w:r>
    </w:p>
    <w:p w:rsidR="00520B60" w:rsidRPr="00444B47" w:rsidRDefault="00520B60" w:rsidP="00520B60">
      <w:pPr>
        <w:overflowPunct w:val="0"/>
        <w:ind w:left="242" w:hangingChars="100" w:hanging="242"/>
        <w:textAlignment w:val="baseline"/>
        <w:rPr>
          <w:rFonts w:ascii="Times New Roman" w:hAnsi="Times New Roman" w:cs="ＭＳ 明朝"/>
          <w:kern w:val="0"/>
          <w:szCs w:val="21"/>
        </w:rPr>
      </w:pPr>
      <w:r w:rsidRPr="00444B47">
        <w:rPr>
          <w:rFonts w:ascii="Times New Roman" w:hAnsi="Times New Roman" w:cs="ＭＳ 明朝" w:hint="eastAsia"/>
          <w:kern w:val="0"/>
          <w:szCs w:val="21"/>
        </w:rPr>
        <w:t xml:space="preserve">　　ただし、運賃率表Ｂ欄及びＣ欄に係る運賃は、Ａ欄に掲げてある運賃のそれぞれ１３０パーセント及び１４５パーセントを最低金額とします。</w:t>
      </w:r>
    </w:p>
    <w:p w:rsidR="00520B60" w:rsidRPr="00444B47" w:rsidRDefault="00520B60" w:rsidP="00520B60">
      <w:pPr>
        <w:overflowPunct w:val="0"/>
        <w:ind w:left="485" w:hangingChars="200" w:hanging="485"/>
        <w:textAlignment w:val="baseline"/>
        <w:rPr>
          <w:rFonts w:ascii="Times New Roman" w:hAnsi="Times New Roman" w:cs="ＭＳ 明朝"/>
          <w:kern w:val="0"/>
          <w:szCs w:val="21"/>
        </w:rPr>
      </w:pPr>
      <w:r w:rsidRPr="00444B47">
        <w:rPr>
          <w:rFonts w:ascii="Times New Roman" w:hAnsi="Times New Roman" w:cs="ＭＳ 明朝" w:hint="eastAsia"/>
          <w:kern w:val="0"/>
          <w:szCs w:val="21"/>
        </w:rPr>
        <w:t>（</w:t>
      </w:r>
      <w:r w:rsidR="00C17874" w:rsidRPr="00444B47">
        <w:rPr>
          <w:rFonts w:ascii="Times New Roman" w:hAnsi="Times New Roman" w:cs="ＭＳ 明朝" w:hint="eastAsia"/>
          <w:kern w:val="0"/>
          <w:szCs w:val="21"/>
        </w:rPr>
        <w:t>2</w:t>
      </w:r>
      <w:r w:rsidRPr="00444B47">
        <w:rPr>
          <w:rFonts w:ascii="Times New Roman" w:hAnsi="Times New Roman" w:cs="ＭＳ 明朝" w:hint="eastAsia"/>
          <w:kern w:val="0"/>
          <w:szCs w:val="21"/>
        </w:rPr>
        <w:t>）割増率もしくは割引率が重複して適用されるときは、それぞれの率をあらかじめ加減したうえで計算します。</w:t>
      </w:r>
    </w:p>
    <w:p w:rsidR="00520B60" w:rsidRPr="00444B47" w:rsidRDefault="00520B60" w:rsidP="00520B60">
      <w:pPr>
        <w:overflowPunct w:val="0"/>
        <w:ind w:left="485" w:hangingChars="200" w:hanging="485"/>
        <w:textAlignment w:val="baseline"/>
        <w:rPr>
          <w:rFonts w:ascii="Times New Roman" w:hAnsi="Times New Roman" w:cs="ＭＳ 明朝"/>
          <w:kern w:val="0"/>
          <w:szCs w:val="21"/>
        </w:rPr>
      </w:pPr>
      <w:r w:rsidRPr="00444B47">
        <w:rPr>
          <w:rFonts w:ascii="Times New Roman" w:hAnsi="Times New Roman" w:cs="ＭＳ 明朝" w:hint="eastAsia"/>
          <w:kern w:val="0"/>
          <w:szCs w:val="21"/>
        </w:rPr>
        <w:t>（</w:t>
      </w:r>
      <w:r w:rsidR="00C17874" w:rsidRPr="00444B47">
        <w:rPr>
          <w:rFonts w:ascii="Times New Roman" w:hAnsi="Times New Roman" w:cs="ＭＳ 明朝" w:hint="eastAsia"/>
          <w:kern w:val="0"/>
          <w:szCs w:val="21"/>
        </w:rPr>
        <w:t>3</w:t>
      </w:r>
      <w:r w:rsidRPr="00444B47">
        <w:rPr>
          <w:rFonts w:ascii="Times New Roman" w:hAnsi="Times New Roman" w:cs="ＭＳ 明朝" w:hint="eastAsia"/>
          <w:kern w:val="0"/>
          <w:szCs w:val="21"/>
        </w:rPr>
        <w:t>）１トン未満のは数重量に対しては、実重量に運賃率表及び料金表に掲げてある金額を乗算して計算します。</w:t>
      </w:r>
    </w:p>
    <w:p w:rsidR="00520B60" w:rsidRPr="00444B47" w:rsidRDefault="00520B60" w:rsidP="00520B60">
      <w:pPr>
        <w:overflowPunct w:val="0"/>
        <w:textAlignment w:val="baseline"/>
        <w:rPr>
          <w:rFonts w:ascii="ＭＳ 明朝" w:hAnsi="Times New Roman"/>
          <w:spacing w:val="2"/>
          <w:kern w:val="0"/>
          <w:szCs w:val="21"/>
        </w:rPr>
      </w:pPr>
    </w:p>
    <w:p w:rsidR="00520B60" w:rsidRPr="00444B47" w:rsidRDefault="00520B60" w:rsidP="00520B60">
      <w:pPr>
        <w:overflowPunct w:val="0"/>
        <w:ind w:firstLineChars="100" w:firstLine="242"/>
        <w:textAlignment w:val="baseline"/>
        <w:rPr>
          <w:rFonts w:ascii="ＭＳ 明朝" w:hAnsi="Times New Roman"/>
          <w:spacing w:val="2"/>
          <w:kern w:val="0"/>
          <w:szCs w:val="21"/>
        </w:rPr>
      </w:pPr>
      <w:r w:rsidRPr="00444B47">
        <w:rPr>
          <w:rFonts w:ascii="Times New Roman" w:hAnsi="Times New Roman" w:cs="ＭＳ 明朝" w:hint="eastAsia"/>
          <w:kern w:val="0"/>
          <w:szCs w:val="21"/>
        </w:rPr>
        <w:t>（は数の処理）</w:t>
      </w:r>
    </w:p>
    <w:p w:rsidR="00520B60" w:rsidRPr="00444B47" w:rsidRDefault="00C17874" w:rsidP="00520B60">
      <w:pPr>
        <w:overflowPunct w:val="0"/>
        <w:ind w:left="242" w:hangingChars="100" w:hanging="242"/>
        <w:textAlignment w:val="baseline"/>
        <w:rPr>
          <w:rFonts w:ascii="Times New Roman" w:hAnsi="Times New Roman" w:cs="ＭＳ 明朝"/>
          <w:kern w:val="0"/>
          <w:szCs w:val="21"/>
        </w:rPr>
      </w:pPr>
      <w:r w:rsidRPr="00444B47">
        <w:rPr>
          <w:rFonts w:ascii="Times New Roman" w:hAnsi="Times New Roman" w:cs="ＭＳ 明朝" w:hint="eastAsia"/>
          <w:kern w:val="0"/>
          <w:szCs w:val="21"/>
        </w:rPr>
        <w:t>3</w:t>
      </w:r>
      <w:r w:rsidRPr="00444B47">
        <w:rPr>
          <w:rFonts w:ascii="Times New Roman" w:hAnsi="Times New Roman" w:cs="ＭＳ 明朝" w:hint="eastAsia"/>
          <w:kern w:val="0"/>
          <w:szCs w:val="21"/>
        </w:rPr>
        <w:t xml:space="preserve">　</w:t>
      </w:r>
      <w:r w:rsidR="00520B60" w:rsidRPr="00444B47">
        <w:rPr>
          <w:rFonts w:ascii="Times New Roman" w:hAnsi="Times New Roman" w:cs="ＭＳ 明朝" w:hint="eastAsia"/>
          <w:kern w:val="0"/>
          <w:szCs w:val="21"/>
        </w:rPr>
        <w:t>運賃及び料金は当該輸送トン数ごとに計算し、当該運賃又は料金の円未満の金額については切り捨てます。</w:t>
      </w:r>
    </w:p>
    <w:p w:rsidR="00520B60" w:rsidRPr="00444B47" w:rsidRDefault="00520B60" w:rsidP="00520B60">
      <w:pPr>
        <w:overflowPunct w:val="0"/>
        <w:ind w:left="985" w:hangingChars="400" w:hanging="985"/>
        <w:textAlignment w:val="baseline"/>
        <w:rPr>
          <w:rFonts w:ascii="ＭＳ 明朝" w:hAnsi="Times New Roman"/>
          <w:spacing w:val="2"/>
          <w:kern w:val="0"/>
          <w:szCs w:val="21"/>
        </w:rPr>
      </w:pPr>
    </w:p>
    <w:p w:rsidR="00520B60" w:rsidRPr="00444B47" w:rsidRDefault="00520B60" w:rsidP="00520B60">
      <w:pPr>
        <w:overflowPunct w:val="0"/>
        <w:ind w:left="985" w:hangingChars="400" w:hanging="985"/>
        <w:textAlignment w:val="baseline"/>
        <w:rPr>
          <w:rFonts w:ascii="ＭＳ 明朝" w:hAnsi="Times New Roman"/>
          <w:spacing w:val="2"/>
          <w:kern w:val="0"/>
          <w:szCs w:val="21"/>
        </w:rPr>
      </w:pPr>
      <w:r w:rsidRPr="00444B47">
        <w:rPr>
          <w:rFonts w:ascii="ＭＳ 明朝" w:hAnsi="Times New Roman" w:hint="eastAsia"/>
          <w:spacing w:val="2"/>
          <w:kern w:val="0"/>
          <w:szCs w:val="21"/>
        </w:rPr>
        <w:t xml:space="preserve">　（大径鋼管杭の容積換算）</w:t>
      </w:r>
    </w:p>
    <w:p w:rsidR="00520B60" w:rsidRPr="00444B47" w:rsidRDefault="00C17874" w:rsidP="00520B60">
      <w:pPr>
        <w:overflowPunct w:val="0"/>
        <w:ind w:left="242" w:hangingChars="100" w:hanging="242"/>
        <w:textAlignment w:val="baseline"/>
        <w:rPr>
          <w:rFonts w:ascii="ＭＳ 明朝" w:hAnsi="Times New Roman"/>
          <w:spacing w:val="2"/>
          <w:kern w:val="0"/>
          <w:szCs w:val="21"/>
        </w:rPr>
      </w:pPr>
      <w:r w:rsidRPr="00444B47">
        <w:rPr>
          <w:rFonts w:ascii="Times New Roman" w:hAnsi="Times New Roman" w:cs="ＭＳ 明朝"/>
          <w:kern w:val="0"/>
          <w:szCs w:val="21"/>
        </w:rPr>
        <w:t>4</w:t>
      </w:r>
      <w:r w:rsidRPr="00444B47">
        <w:rPr>
          <w:rFonts w:ascii="ＭＳ 明朝" w:hAnsi="Times New Roman" w:hint="eastAsia"/>
          <w:spacing w:val="2"/>
          <w:kern w:val="0"/>
          <w:szCs w:val="21"/>
        </w:rPr>
        <w:t xml:space="preserve">　</w:t>
      </w:r>
      <w:r w:rsidR="00520B60" w:rsidRPr="00444B47">
        <w:rPr>
          <w:rFonts w:ascii="ＭＳ 明朝" w:hAnsi="Times New Roman" w:hint="eastAsia"/>
          <w:spacing w:val="2"/>
          <w:kern w:val="0"/>
          <w:szCs w:val="21"/>
        </w:rPr>
        <w:t>大径鋼管杭を運送する場合は、実重量に次の容積換算係数を乗算して重量を計算します。</w:t>
      </w:r>
    </w:p>
    <w:p w:rsidR="00520B60" w:rsidRPr="00444B47" w:rsidRDefault="00520B60" w:rsidP="00520B60">
      <w:pPr>
        <w:overflowPunct w:val="0"/>
        <w:ind w:left="989" w:hangingChars="400" w:hanging="989"/>
        <w:textAlignment w:val="baseline"/>
        <w:rPr>
          <w:rFonts w:ascii="ＭＳ 明朝" w:hAnsi="Times New Roman"/>
          <w:b/>
          <w:spacing w:val="2"/>
          <w:kern w:val="0"/>
          <w:szCs w:val="21"/>
        </w:rPr>
      </w:pPr>
    </w:p>
    <w:tbl>
      <w:tblPr>
        <w:tblW w:w="0" w:type="auto"/>
        <w:tblInd w:w="6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65"/>
        <w:gridCol w:w="4125"/>
      </w:tblGrid>
      <w:tr w:rsidR="00444B47" w:rsidRPr="00444B47" w:rsidTr="005B3730">
        <w:trPr>
          <w:trHeight w:val="203"/>
        </w:trPr>
        <w:tc>
          <w:tcPr>
            <w:tcW w:w="4365" w:type="dxa"/>
            <w:tcBorders>
              <w:bottom w:val="single" w:sz="6" w:space="0" w:color="auto"/>
              <w:right w:val="single" w:sz="6" w:space="0" w:color="auto"/>
            </w:tcBorders>
          </w:tcPr>
          <w:p w:rsidR="00520B60" w:rsidRPr="00444B47" w:rsidRDefault="00520B60" w:rsidP="005B3730">
            <w:pPr>
              <w:overflowPunct w:val="0"/>
              <w:jc w:val="center"/>
              <w:textAlignment w:val="baseline"/>
              <w:rPr>
                <w:rFonts w:ascii="ＭＳ 明朝" w:hAnsi="Times New Roman"/>
                <w:spacing w:val="2"/>
                <w:kern w:val="0"/>
                <w:szCs w:val="21"/>
              </w:rPr>
            </w:pPr>
            <w:r w:rsidRPr="00444B47">
              <w:rPr>
                <w:rFonts w:ascii="ＭＳ 明朝" w:hAnsi="Times New Roman" w:hint="eastAsia"/>
                <w:spacing w:val="2"/>
                <w:kern w:val="0"/>
                <w:szCs w:val="21"/>
              </w:rPr>
              <w:t>貨　物　の　外　形</w:t>
            </w:r>
          </w:p>
        </w:tc>
        <w:tc>
          <w:tcPr>
            <w:tcW w:w="4125" w:type="dxa"/>
            <w:tcBorders>
              <w:left w:val="single" w:sz="6" w:space="0" w:color="auto"/>
              <w:bottom w:val="single" w:sz="6" w:space="0" w:color="auto"/>
            </w:tcBorders>
          </w:tcPr>
          <w:p w:rsidR="00520B60" w:rsidRPr="00444B47" w:rsidRDefault="00520B60" w:rsidP="005B3730">
            <w:pPr>
              <w:overflowPunct w:val="0"/>
              <w:jc w:val="center"/>
              <w:textAlignment w:val="baseline"/>
              <w:rPr>
                <w:rFonts w:ascii="ＭＳ 明朝" w:hAnsi="Times New Roman"/>
                <w:spacing w:val="2"/>
                <w:kern w:val="0"/>
                <w:szCs w:val="21"/>
              </w:rPr>
            </w:pPr>
            <w:r w:rsidRPr="00444B47">
              <w:rPr>
                <w:rFonts w:ascii="ＭＳ 明朝" w:hAnsi="Times New Roman" w:hint="eastAsia"/>
                <w:spacing w:val="2"/>
                <w:kern w:val="0"/>
                <w:szCs w:val="21"/>
              </w:rPr>
              <w:t>係　　　　　　　数</w:t>
            </w:r>
          </w:p>
        </w:tc>
      </w:tr>
      <w:tr w:rsidR="00444B47" w:rsidRPr="00444B47" w:rsidTr="005B3730">
        <w:trPr>
          <w:trHeight w:val="266"/>
        </w:trPr>
        <w:tc>
          <w:tcPr>
            <w:tcW w:w="4365" w:type="dxa"/>
            <w:tcBorders>
              <w:top w:val="single" w:sz="6" w:space="0" w:color="auto"/>
              <w:bottom w:val="single" w:sz="6" w:space="0" w:color="auto"/>
              <w:right w:val="single" w:sz="6" w:space="0" w:color="auto"/>
            </w:tcBorders>
          </w:tcPr>
          <w:p w:rsidR="00520B60" w:rsidRPr="00444B47" w:rsidRDefault="00520B60" w:rsidP="005B3730">
            <w:pPr>
              <w:overflowPunct w:val="0"/>
              <w:ind w:left="985" w:hangingChars="400" w:hanging="985"/>
              <w:textAlignment w:val="baseline"/>
              <w:rPr>
                <w:rFonts w:ascii="ＭＳ 明朝" w:hAnsi="Times New Roman"/>
                <w:spacing w:val="2"/>
                <w:kern w:val="0"/>
                <w:szCs w:val="21"/>
              </w:rPr>
            </w:pPr>
            <w:r w:rsidRPr="00444B47">
              <w:rPr>
                <w:rFonts w:ascii="ＭＳ 明朝" w:hAnsi="Times New Roman" w:hint="eastAsia"/>
                <w:spacing w:val="2"/>
                <w:kern w:val="0"/>
                <w:szCs w:val="21"/>
              </w:rPr>
              <w:t>外径　　600m/m以上　　850m/m未満</w:t>
            </w:r>
          </w:p>
        </w:tc>
        <w:tc>
          <w:tcPr>
            <w:tcW w:w="4125" w:type="dxa"/>
            <w:tcBorders>
              <w:top w:val="single" w:sz="6" w:space="0" w:color="auto"/>
              <w:left w:val="single" w:sz="6" w:space="0" w:color="auto"/>
              <w:bottom w:val="single" w:sz="6" w:space="0" w:color="auto"/>
            </w:tcBorders>
          </w:tcPr>
          <w:p w:rsidR="00520B60" w:rsidRPr="00444B47" w:rsidRDefault="00520B60" w:rsidP="005B3730">
            <w:pPr>
              <w:overflowPunct w:val="0"/>
              <w:jc w:val="center"/>
              <w:textAlignment w:val="baseline"/>
              <w:rPr>
                <w:rFonts w:ascii="ＭＳ 明朝" w:hAnsi="Times New Roman"/>
                <w:spacing w:val="2"/>
                <w:kern w:val="0"/>
                <w:szCs w:val="21"/>
              </w:rPr>
            </w:pPr>
            <w:r w:rsidRPr="00444B47">
              <w:rPr>
                <w:rFonts w:ascii="ＭＳ 明朝" w:hAnsi="Times New Roman" w:hint="eastAsia"/>
                <w:spacing w:val="2"/>
                <w:kern w:val="0"/>
                <w:szCs w:val="21"/>
              </w:rPr>
              <w:t>1.2</w:t>
            </w:r>
          </w:p>
        </w:tc>
      </w:tr>
      <w:tr w:rsidR="00444B47" w:rsidRPr="00444B47" w:rsidTr="005B3730">
        <w:trPr>
          <w:trHeight w:val="300"/>
        </w:trPr>
        <w:tc>
          <w:tcPr>
            <w:tcW w:w="4365" w:type="dxa"/>
            <w:tcBorders>
              <w:top w:val="single" w:sz="6" w:space="0" w:color="auto"/>
              <w:bottom w:val="single" w:sz="6" w:space="0" w:color="auto"/>
              <w:right w:val="single" w:sz="6" w:space="0" w:color="auto"/>
            </w:tcBorders>
          </w:tcPr>
          <w:p w:rsidR="00520B60" w:rsidRPr="00444B47" w:rsidRDefault="00520B60" w:rsidP="005B3730">
            <w:pPr>
              <w:overflowPunct w:val="0"/>
              <w:ind w:left="985" w:hangingChars="400" w:hanging="985"/>
              <w:textAlignment w:val="baseline"/>
              <w:rPr>
                <w:rFonts w:ascii="ＭＳ 明朝" w:hAnsi="Times New Roman"/>
                <w:spacing w:val="2"/>
                <w:kern w:val="0"/>
                <w:szCs w:val="21"/>
              </w:rPr>
            </w:pPr>
            <w:r w:rsidRPr="00444B47">
              <w:rPr>
                <w:rFonts w:ascii="ＭＳ 明朝" w:hAnsi="Times New Roman" w:hint="eastAsia"/>
                <w:spacing w:val="2"/>
                <w:kern w:val="0"/>
                <w:szCs w:val="21"/>
              </w:rPr>
              <w:t>外径　　850m/m以上　1,350m/m未満</w:t>
            </w:r>
          </w:p>
        </w:tc>
        <w:tc>
          <w:tcPr>
            <w:tcW w:w="4125" w:type="dxa"/>
            <w:tcBorders>
              <w:top w:val="single" w:sz="6" w:space="0" w:color="auto"/>
              <w:left w:val="single" w:sz="6" w:space="0" w:color="auto"/>
              <w:bottom w:val="single" w:sz="6" w:space="0" w:color="auto"/>
            </w:tcBorders>
          </w:tcPr>
          <w:p w:rsidR="00520B60" w:rsidRPr="00444B47" w:rsidRDefault="00520B60" w:rsidP="005B3730">
            <w:pPr>
              <w:overflowPunct w:val="0"/>
              <w:ind w:left="985" w:hangingChars="400" w:hanging="985"/>
              <w:jc w:val="center"/>
              <w:textAlignment w:val="baseline"/>
              <w:rPr>
                <w:rFonts w:ascii="ＭＳ 明朝" w:hAnsi="Times New Roman"/>
                <w:spacing w:val="2"/>
                <w:kern w:val="0"/>
                <w:szCs w:val="21"/>
              </w:rPr>
            </w:pPr>
            <w:r w:rsidRPr="00444B47">
              <w:rPr>
                <w:rFonts w:ascii="ＭＳ 明朝" w:hAnsi="Times New Roman" w:hint="eastAsia"/>
                <w:spacing w:val="2"/>
                <w:kern w:val="0"/>
                <w:szCs w:val="21"/>
              </w:rPr>
              <w:t>1.3</w:t>
            </w:r>
          </w:p>
        </w:tc>
      </w:tr>
      <w:tr w:rsidR="00520B60" w:rsidRPr="00444B47" w:rsidTr="005B3730">
        <w:trPr>
          <w:trHeight w:val="225"/>
        </w:trPr>
        <w:tc>
          <w:tcPr>
            <w:tcW w:w="4365" w:type="dxa"/>
            <w:tcBorders>
              <w:top w:val="single" w:sz="6" w:space="0" w:color="auto"/>
              <w:right w:val="single" w:sz="6" w:space="0" w:color="auto"/>
            </w:tcBorders>
          </w:tcPr>
          <w:p w:rsidR="00520B60" w:rsidRPr="00444B47" w:rsidRDefault="00520B60" w:rsidP="005B3730">
            <w:pPr>
              <w:overflowPunct w:val="0"/>
              <w:ind w:left="985" w:hangingChars="400" w:hanging="985"/>
              <w:textAlignment w:val="baseline"/>
              <w:rPr>
                <w:rFonts w:ascii="ＭＳ 明朝" w:hAnsi="Times New Roman"/>
                <w:spacing w:val="2"/>
                <w:kern w:val="0"/>
                <w:szCs w:val="21"/>
              </w:rPr>
            </w:pPr>
            <w:r w:rsidRPr="00444B47">
              <w:rPr>
                <w:rFonts w:ascii="ＭＳ 明朝" w:hAnsi="Times New Roman" w:hint="eastAsia"/>
                <w:spacing w:val="2"/>
                <w:kern w:val="0"/>
                <w:szCs w:val="21"/>
              </w:rPr>
              <w:t>外径　1,350m/m以上</w:t>
            </w:r>
          </w:p>
        </w:tc>
        <w:tc>
          <w:tcPr>
            <w:tcW w:w="4125" w:type="dxa"/>
            <w:tcBorders>
              <w:top w:val="single" w:sz="6" w:space="0" w:color="auto"/>
              <w:left w:val="single" w:sz="6" w:space="0" w:color="auto"/>
            </w:tcBorders>
          </w:tcPr>
          <w:p w:rsidR="00520B60" w:rsidRPr="00444B47" w:rsidRDefault="00520B60" w:rsidP="005B3730">
            <w:pPr>
              <w:overflowPunct w:val="0"/>
              <w:ind w:left="985" w:hangingChars="400" w:hanging="985"/>
              <w:jc w:val="center"/>
              <w:textAlignment w:val="baseline"/>
              <w:rPr>
                <w:rFonts w:ascii="ＭＳ 明朝" w:hAnsi="Times New Roman"/>
                <w:spacing w:val="2"/>
                <w:kern w:val="0"/>
                <w:szCs w:val="21"/>
              </w:rPr>
            </w:pPr>
            <w:r w:rsidRPr="00444B47">
              <w:rPr>
                <w:rFonts w:ascii="ＭＳ 明朝" w:hAnsi="Times New Roman" w:hint="eastAsia"/>
                <w:spacing w:val="2"/>
                <w:kern w:val="0"/>
                <w:szCs w:val="21"/>
              </w:rPr>
              <w:t>1.4以上の臨時の約束による</w:t>
            </w:r>
          </w:p>
        </w:tc>
      </w:tr>
    </w:tbl>
    <w:p w:rsidR="00520B60" w:rsidRPr="00444B47" w:rsidRDefault="00520B60" w:rsidP="00520B60">
      <w:pPr>
        <w:overflowPunct w:val="0"/>
        <w:textAlignment w:val="baseline"/>
        <w:rPr>
          <w:rFonts w:ascii="Times New Roman" w:hAnsi="Times New Roman" w:cs="ＭＳ 明朝"/>
          <w:kern w:val="0"/>
          <w:szCs w:val="21"/>
        </w:rPr>
      </w:pPr>
    </w:p>
    <w:p w:rsidR="00520B60" w:rsidRPr="00444B47" w:rsidRDefault="00520B60" w:rsidP="00520B60">
      <w:pPr>
        <w:overflowPunct w:val="0"/>
        <w:ind w:firstLineChars="100" w:firstLine="242"/>
        <w:textAlignment w:val="baseline"/>
        <w:rPr>
          <w:rFonts w:ascii="ＭＳ 明朝" w:hAnsi="Times New Roman"/>
          <w:spacing w:val="2"/>
          <w:kern w:val="0"/>
          <w:szCs w:val="21"/>
        </w:rPr>
      </w:pPr>
      <w:r w:rsidRPr="00444B47">
        <w:rPr>
          <w:rFonts w:ascii="Times New Roman" w:hAnsi="Times New Roman" w:cs="ＭＳ 明朝" w:hint="eastAsia"/>
          <w:kern w:val="0"/>
          <w:szCs w:val="21"/>
        </w:rPr>
        <w:t>（キロ程の計算）</w:t>
      </w:r>
    </w:p>
    <w:p w:rsidR="00520B60" w:rsidRPr="00444B47" w:rsidRDefault="00C17874" w:rsidP="00520B60">
      <w:pPr>
        <w:overflowPunct w:val="0"/>
        <w:ind w:left="242" w:hangingChars="100" w:hanging="242"/>
        <w:textAlignment w:val="baseline"/>
        <w:rPr>
          <w:rFonts w:ascii="ＭＳ 明朝" w:hAnsi="Times New Roman"/>
          <w:spacing w:val="2"/>
          <w:kern w:val="0"/>
          <w:szCs w:val="21"/>
        </w:rPr>
      </w:pPr>
      <w:r w:rsidRPr="00444B47">
        <w:rPr>
          <w:rFonts w:ascii="Times New Roman" w:hAnsi="Times New Roman" w:cs="ＭＳ 明朝" w:hint="eastAsia"/>
          <w:kern w:val="0"/>
          <w:szCs w:val="21"/>
        </w:rPr>
        <w:t>5</w:t>
      </w:r>
      <w:r w:rsidRPr="00444B47">
        <w:rPr>
          <w:rFonts w:ascii="Times New Roman" w:hAnsi="Times New Roman" w:cs="ＭＳ 明朝" w:hint="eastAsia"/>
          <w:kern w:val="0"/>
          <w:szCs w:val="21"/>
        </w:rPr>
        <w:t xml:space="preserve">　</w:t>
      </w:r>
      <w:r w:rsidR="00520B60" w:rsidRPr="00444B47">
        <w:rPr>
          <w:rFonts w:ascii="Times New Roman" w:hAnsi="Times New Roman" w:cs="ＭＳ 明朝" w:hint="eastAsia"/>
          <w:kern w:val="0"/>
          <w:szCs w:val="21"/>
        </w:rPr>
        <w:t>運送距離は実車キロ程によるものとし、経路が２途以上あるときは、その最短となる経路のキロ程により計算します。荷主の指示により、同一荷主の貨物を２ヶ所以上の場所で積卸する場合の運賃は、積荷の最大となる場合の重量によって、全区間を輸送したものとして計算します。</w:t>
      </w:r>
    </w:p>
    <w:p w:rsidR="00520B60" w:rsidRPr="00444B47" w:rsidRDefault="00520B60" w:rsidP="00520B60">
      <w:pPr>
        <w:overflowPunct w:val="0"/>
        <w:textAlignment w:val="baseline"/>
        <w:rPr>
          <w:rFonts w:ascii="Times New Roman" w:hAnsi="Times New Roman" w:cs="ＭＳ 明朝"/>
          <w:kern w:val="0"/>
          <w:szCs w:val="21"/>
        </w:rPr>
      </w:pPr>
    </w:p>
    <w:p w:rsidR="00520B60" w:rsidRPr="00444B47" w:rsidRDefault="00520B60" w:rsidP="00520B60">
      <w:pPr>
        <w:overflowPunct w:val="0"/>
        <w:ind w:firstLineChars="100" w:firstLine="242"/>
        <w:textAlignment w:val="baseline"/>
        <w:rPr>
          <w:rFonts w:ascii="ＭＳ 明朝" w:hAnsi="Times New Roman"/>
          <w:spacing w:val="2"/>
          <w:kern w:val="0"/>
          <w:szCs w:val="21"/>
        </w:rPr>
      </w:pPr>
      <w:r w:rsidRPr="00444B47">
        <w:rPr>
          <w:rFonts w:ascii="Times New Roman" w:hAnsi="Times New Roman" w:cs="ＭＳ 明朝" w:hint="eastAsia"/>
          <w:kern w:val="0"/>
          <w:szCs w:val="21"/>
        </w:rPr>
        <w:t>（</w:t>
      </w:r>
      <w:r w:rsidR="00EF7CD1" w:rsidRPr="00444B47">
        <w:rPr>
          <w:rFonts w:ascii="Times New Roman" w:hAnsi="Times New Roman" w:cs="ＭＳ 明朝" w:hint="eastAsia"/>
          <w:kern w:val="0"/>
          <w:szCs w:val="21"/>
        </w:rPr>
        <w:t>待機時間料</w:t>
      </w:r>
      <w:r w:rsidRPr="00444B47">
        <w:rPr>
          <w:rFonts w:ascii="Times New Roman" w:hAnsi="Times New Roman" w:cs="ＭＳ 明朝" w:hint="eastAsia"/>
          <w:kern w:val="0"/>
          <w:szCs w:val="21"/>
        </w:rPr>
        <w:t>）</w:t>
      </w:r>
    </w:p>
    <w:p w:rsidR="00520B60" w:rsidRPr="00444B47" w:rsidRDefault="00C17874" w:rsidP="00520B60">
      <w:pPr>
        <w:overflowPunct w:val="0"/>
        <w:ind w:left="242" w:hangingChars="100" w:hanging="242"/>
        <w:textAlignment w:val="baseline"/>
        <w:rPr>
          <w:rFonts w:ascii="Times New Roman" w:hAnsi="Times New Roman" w:cs="ＭＳ 明朝"/>
          <w:kern w:val="0"/>
          <w:szCs w:val="21"/>
        </w:rPr>
      </w:pPr>
      <w:r w:rsidRPr="00444B47">
        <w:rPr>
          <w:rFonts w:ascii="Times New Roman" w:hAnsi="Times New Roman" w:cs="ＭＳ 明朝" w:hint="eastAsia"/>
          <w:kern w:val="0"/>
          <w:szCs w:val="21"/>
        </w:rPr>
        <w:t>6</w:t>
      </w:r>
      <w:r w:rsidRPr="00444B47">
        <w:rPr>
          <w:rFonts w:ascii="Times New Roman" w:hAnsi="Times New Roman" w:cs="ＭＳ 明朝" w:hint="eastAsia"/>
          <w:kern w:val="0"/>
          <w:szCs w:val="21"/>
        </w:rPr>
        <w:t xml:space="preserve">　</w:t>
      </w:r>
      <w:r w:rsidR="00EF7CD1" w:rsidRPr="00444B47">
        <w:rPr>
          <w:rFonts w:ascii="Times New Roman" w:hAnsi="Times New Roman" w:cs="ＭＳ 明朝" w:hint="eastAsia"/>
          <w:kern w:val="0"/>
          <w:szCs w:val="21"/>
        </w:rPr>
        <w:t>車両が貨物の発地又は着地に到着後、荷送人又は荷受人の責により待機した時間（荷送人又は荷受人が貨物の積込み若しくは取卸し又は附帯業務を行う場合における待機した時間を含む。）に応じて待機時間料を収受します。ただし、１回の運送において２箇所以上で待機が発生する場合は、それぞれについて合計するものとします。</w:t>
      </w:r>
    </w:p>
    <w:p w:rsidR="00117463" w:rsidRPr="00444B47" w:rsidRDefault="00117463" w:rsidP="00520B60">
      <w:pPr>
        <w:overflowPunct w:val="0"/>
        <w:ind w:left="242" w:hangingChars="100" w:hanging="242"/>
        <w:textAlignment w:val="baseline"/>
        <w:rPr>
          <w:rFonts w:ascii="Times New Roman" w:hAnsi="Times New Roman" w:cs="ＭＳ 明朝"/>
          <w:kern w:val="0"/>
          <w:szCs w:val="21"/>
        </w:rPr>
      </w:pPr>
    </w:p>
    <w:p w:rsidR="00520B60" w:rsidRPr="00444B47" w:rsidRDefault="00520B60" w:rsidP="00520B60">
      <w:pPr>
        <w:overflowPunct w:val="0"/>
        <w:ind w:firstLineChars="100" w:firstLine="242"/>
        <w:textAlignment w:val="baseline"/>
        <w:rPr>
          <w:rFonts w:ascii="ＭＳ 明朝" w:hAnsi="Times New Roman"/>
          <w:spacing w:val="2"/>
          <w:kern w:val="0"/>
          <w:szCs w:val="21"/>
        </w:rPr>
      </w:pPr>
      <w:r w:rsidRPr="00444B47">
        <w:rPr>
          <w:rFonts w:ascii="Times New Roman" w:hAnsi="Times New Roman" w:cs="ＭＳ 明朝" w:hint="eastAsia"/>
          <w:kern w:val="0"/>
          <w:szCs w:val="21"/>
        </w:rPr>
        <w:t>（長大品割増）</w:t>
      </w:r>
    </w:p>
    <w:p w:rsidR="00520B60" w:rsidRPr="00444B47" w:rsidRDefault="00C17874" w:rsidP="00520B60">
      <w:pPr>
        <w:overflowPunct w:val="0"/>
        <w:ind w:left="242" w:hangingChars="100" w:hanging="242"/>
        <w:textAlignment w:val="baseline"/>
        <w:rPr>
          <w:rFonts w:ascii="Times New Roman" w:hAnsi="Times New Roman" w:cs="ＭＳ 明朝"/>
          <w:kern w:val="0"/>
          <w:szCs w:val="21"/>
        </w:rPr>
      </w:pPr>
      <w:r w:rsidRPr="00444B47">
        <w:rPr>
          <w:rFonts w:ascii="Times New Roman" w:hAnsi="Times New Roman" w:cs="ＭＳ 明朝" w:hint="eastAsia"/>
          <w:kern w:val="0"/>
          <w:szCs w:val="21"/>
        </w:rPr>
        <w:t>7</w:t>
      </w:r>
      <w:r w:rsidRPr="00444B47">
        <w:rPr>
          <w:rFonts w:ascii="Times New Roman" w:hAnsi="Times New Roman" w:cs="ＭＳ 明朝" w:hint="eastAsia"/>
          <w:kern w:val="0"/>
          <w:szCs w:val="21"/>
        </w:rPr>
        <w:t xml:space="preserve">　</w:t>
      </w:r>
      <w:r w:rsidR="00520B60" w:rsidRPr="00444B47">
        <w:rPr>
          <w:rFonts w:ascii="Times New Roman" w:hAnsi="Times New Roman" w:cs="ＭＳ 明朝" w:hint="eastAsia"/>
          <w:kern w:val="0"/>
          <w:szCs w:val="21"/>
        </w:rPr>
        <w:t>貨物の長さが２０メートル以上のもの又は幅３．５メートル以上のものは、所定の割増率を適用します。</w:t>
      </w:r>
    </w:p>
    <w:p w:rsidR="00520B60" w:rsidRPr="00444B47" w:rsidRDefault="00520B60" w:rsidP="00520B60">
      <w:pPr>
        <w:overflowPunct w:val="0"/>
        <w:ind w:left="246" w:hangingChars="100" w:hanging="246"/>
        <w:textAlignment w:val="baseline"/>
        <w:rPr>
          <w:rFonts w:ascii="ＭＳ 明朝" w:hAnsi="Times New Roman"/>
          <w:spacing w:val="2"/>
          <w:kern w:val="0"/>
          <w:szCs w:val="21"/>
        </w:rPr>
      </w:pPr>
    </w:p>
    <w:p w:rsidR="00520B60" w:rsidRPr="00444B47" w:rsidRDefault="00520B60" w:rsidP="00520B60">
      <w:pPr>
        <w:overflowPunct w:val="0"/>
        <w:ind w:firstLineChars="100" w:firstLine="242"/>
        <w:textAlignment w:val="baseline"/>
        <w:rPr>
          <w:rFonts w:ascii="ＭＳ 明朝" w:hAnsi="Times New Roman"/>
          <w:spacing w:val="2"/>
          <w:kern w:val="0"/>
          <w:szCs w:val="21"/>
        </w:rPr>
      </w:pPr>
      <w:r w:rsidRPr="00444B47">
        <w:rPr>
          <w:rFonts w:ascii="Times New Roman" w:hAnsi="Times New Roman" w:cs="ＭＳ 明朝" w:hint="eastAsia"/>
          <w:kern w:val="0"/>
          <w:szCs w:val="21"/>
        </w:rPr>
        <w:t>（冬期割増）</w:t>
      </w:r>
    </w:p>
    <w:p w:rsidR="00520B60" w:rsidRPr="00444B47" w:rsidRDefault="00C17874" w:rsidP="00520B60">
      <w:pPr>
        <w:overflowPunct w:val="0"/>
        <w:ind w:left="242" w:hangingChars="100" w:hanging="242"/>
        <w:textAlignment w:val="baseline"/>
        <w:rPr>
          <w:rFonts w:ascii="ＭＳ 明朝" w:hAnsi="Times New Roman"/>
          <w:spacing w:val="2"/>
          <w:kern w:val="0"/>
          <w:szCs w:val="21"/>
        </w:rPr>
      </w:pPr>
      <w:r w:rsidRPr="00444B47">
        <w:rPr>
          <w:rFonts w:ascii="Times New Roman" w:hAnsi="Times New Roman" w:cs="ＭＳ 明朝" w:hint="eastAsia"/>
          <w:kern w:val="0"/>
          <w:szCs w:val="21"/>
        </w:rPr>
        <w:t>8</w:t>
      </w:r>
      <w:r w:rsidRPr="00444B47">
        <w:rPr>
          <w:rFonts w:ascii="Times New Roman" w:hAnsi="Times New Roman" w:cs="ＭＳ 明朝" w:hint="eastAsia"/>
          <w:kern w:val="0"/>
          <w:szCs w:val="21"/>
        </w:rPr>
        <w:t xml:space="preserve">　</w:t>
      </w:r>
      <w:r w:rsidR="00520B60" w:rsidRPr="00444B47">
        <w:rPr>
          <w:rFonts w:ascii="Times New Roman" w:hAnsi="Times New Roman" w:cs="ＭＳ 明朝" w:hint="eastAsia"/>
          <w:kern w:val="0"/>
          <w:szCs w:val="21"/>
        </w:rPr>
        <w:t>運送区間中に冬期割増適用地域に該当する部分がある場合には、当該割増区間の運送距離による運賃に対して、所定の割増率を乗じて計算した額を加算します。</w:t>
      </w:r>
    </w:p>
    <w:p w:rsidR="00520B60" w:rsidRPr="00444B47" w:rsidRDefault="00520B60" w:rsidP="00520B60">
      <w:pPr>
        <w:overflowPunct w:val="0"/>
        <w:textAlignment w:val="baseline"/>
        <w:rPr>
          <w:rFonts w:ascii="Times New Roman" w:hAnsi="Times New Roman" w:cs="ＭＳ 明朝"/>
          <w:kern w:val="0"/>
          <w:szCs w:val="21"/>
        </w:rPr>
      </w:pPr>
    </w:p>
    <w:p w:rsidR="00520B60" w:rsidRPr="00444B47" w:rsidRDefault="00520B60" w:rsidP="00520B60">
      <w:pPr>
        <w:overflowPunct w:val="0"/>
        <w:ind w:firstLineChars="100" w:firstLine="242"/>
        <w:textAlignment w:val="baseline"/>
        <w:rPr>
          <w:rFonts w:ascii="ＭＳ 明朝" w:hAnsi="Times New Roman"/>
          <w:spacing w:val="2"/>
          <w:kern w:val="0"/>
          <w:szCs w:val="21"/>
        </w:rPr>
      </w:pPr>
      <w:r w:rsidRPr="00444B47">
        <w:rPr>
          <w:rFonts w:ascii="Times New Roman" w:hAnsi="Times New Roman" w:cs="ＭＳ 明朝" w:hint="eastAsia"/>
          <w:kern w:val="0"/>
          <w:szCs w:val="21"/>
        </w:rPr>
        <w:t>（休日割増）</w:t>
      </w:r>
    </w:p>
    <w:p w:rsidR="00520B60" w:rsidRPr="00444B47" w:rsidRDefault="00C17874" w:rsidP="00520B60">
      <w:pPr>
        <w:overflowPunct w:val="0"/>
        <w:ind w:left="242" w:hangingChars="100" w:hanging="242"/>
        <w:textAlignment w:val="baseline"/>
        <w:rPr>
          <w:rFonts w:ascii="Times New Roman" w:hAnsi="Times New Roman" w:cs="ＭＳ 明朝"/>
          <w:kern w:val="0"/>
          <w:szCs w:val="21"/>
        </w:rPr>
      </w:pPr>
      <w:r w:rsidRPr="00444B47">
        <w:rPr>
          <w:rFonts w:ascii="Times New Roman" w:hAnsi="Times New Roman" w:cs="ＭＳ 明朝" w:hint="eastAsia"/>
          <w:kern w:val="0"/>
          <w:szCs w:val="21"/>
        </w:rPr>
        <w:t>9</w:t>
      </w:r>
      <w:r w:rsidRPr="00444B47">
        <w:rPr>
          <w:rFonts w:ascii="Times New Roman" w:hAnsi="Times New Roman" w:cs="ＭＳ 明朝" w:hint="eastAsia"/>
          <w:kern w:val="0"/>
          <w:szCs w:val="21"/>
        </w:rPr>
        <w:t xml:space="preserve">　</w:t>
      </w:r>
      <w:r w:rsidR="00520B60" w:rsidRPr="00444B47">
        <w:rPr>
          <w:rFonts w:ascii="Times New Roman" w:hAnsi="Times New Roman" w:cs="ＭＳ 明朝" w:hint="eastAsia"/>
          <w:kern w:val="0"/>
          <w:szCs w:val="21"/>
        </w:rPr>
        <w:t>荷主の指示により日曜、祝祭日に行われる運送については、日曜、祝祭日に行われる運送距離による運賃に対して、所定の割増率を乗じて計算した額を加算します。</w:t>
      </w:r>
    </w:p>
    <w:p w:rsidR="00520B60" w:rsidRPr="00444B47" w:rsidRDefault="00520B60" w:rsidP="00520B60">
      <w:pPr>
        <w:overflowPunct w:val="0"/>
        <w:textAlignment w:val="baseline"/>
        <w:rPr>
          <w:rFonts w:ascii="ＭＳ 明朝" w:hAnsi="Times New Roman"/>
          <w:spacing w:val="2"/>
          <w:kern w:val="0"/>
          <w:szCs w:val="21"/>
        </w:rPr>
      </w:pPr>
    </w:p>
    <w:p w:rsidR="00520B60" w:rsidRPr="00444B47" w:rsidRDefault="00520B60" w:rsidP="00520B60">
      <w:pPr>
        <w:overflowPunct w:val="0"/>
        <w:ind w:firstLineChars="100" w:firstLine="242"/>
        <w:textAlignment w:val="baseline"/>
        <w:rPr>
          <w:rFonts w:ascii="ＭＳ 明朝" w:hAnsi="Times New Roman"/>
          <w:spacing w:val="2"/>
          <w:kern w:val="0"/>
          <w:szCs w:val="21"/>
        </w:rPr>
      </w:pPr>
      <w:r w:rsidRPr="00444B47">
        <w:rPr>
          <w:rFonts w:ascii="Times New Roman" w:hAnsi="Times New Roman" w:cs="ＭＳ 明朝" w:hint="eastAsia"/>
          <w:kern w:val="0"/>
          <w:szCs w:val="21"/>
        </w:rPr>
        <w:t>（深夜・早朝割増）</w:t>
      </w:r>
    </w:p>
    <w:p w:rsidR="00520B60" w:rsidRPr="00444B47" w:rsidRDefault="00C17874" w:rsidP="00520B60">
      <w:pPr>
        <w:overflowPunct w:val="0"/>
        <w:ind w:left="242" w:hangingChars="100" w:hanging="242"/>
        <w:textAlignment w:val="baseline"/>
        <w:rPr>
          <w:rFonts w:ascii="ＭＳ 明朝" w:hAnsi="Times New Roman"/>
          <w:spacing w:val="2"/>
          <w:kern w:val="0"/>
          <w:szCs w:val="21"/>
        </w:rPr>
      </w:pPr>
      <w:r w:rsidRPr="00444B47">
        <w:rPr>
          <w:rFonts w:ascii="Times New Roman" w:hAnsi="Times New Roman" w:cs="ＭＳ 明朝" w:hint="eastAsia"/>
          <w:kern w:val="0"/>
          <w:szCs w:val="21"/>
        </w:rPr>
        <w:t>10</w:t>
      </w:r>
      <w:r w:rsidRPr="00444B47">
        <w:rPr>
          <w:rFonts w:ascii="Times New Roman" w:hAnsi="Times New Roman" w:cs="ＭＳ 明朝" w:hint="eastAsia"/>
          <w:kern w:val="0"/>
          <w:szCs w:val="21"/>
        </w:rPr>
        <w:t xml:space="preserve">　</w:t>
      </w:r>
      <w:r w:rsidR="00520B60" w:rsidRPr="00444B47">
        <w:rPr>
          <w:rFonts w:ascii="Times New Roman" w:hAnsi="Times New Roman" w:cs="ＭＳ 明朝" w:hint="eastAsia"/>
          <w:kern w:val="0"/>
          <w:szCs w:val="21"/>
        </w:rPr>
        <w:t>荷主の指示により深夜・早朝割増の適用時間に行われる運送（当該運送のための作業時間及び</w:t>
      </w:r>
      <w:r w:rsidR="00DF56A0" w:rsidRPr="00444B47">
        <w:rPr>
          <w:rFonts w:ascii="Times New Roman" w:hAnsi="Times New Roman" w:cs="ＭＳ 明朝" w:hint="eastAsia"/>
          <w:kern w:val="0"/>
          <w:szCs w:val="21"/>
        </w:rPr>
        <w:t>待機</w:t>
      </w:r>
      <w:r w:rsidR="00520B60" w:rsidRPr="00444B47">
        <w:rPr>
          <w:rFonts w:ascii="Times New Roman" w:hAnsi="Times New Roman" w:cs="ＭＳ 明朝" w:hint="eastAsia"/>
          <w:kern w:val="0"/>
          <w:szCs w:val="21"/>
        </w:rPr>
        <w:t>時間を含みます）については、次の式により計算した金額を加算します。ただし、運賃率表Ａ欄に係る運送に限ります。</w:t>
      </w:r>
    </w:p>
    <w:p w:rsidR="00520B60" w:rsidRPr="00444B47" w:rsidRDefault="00520B60" w:rsidP="00520B60">
      <w:pPr>
        <w:overflowPunct w:val="0"/>
        <w:ind w:firstLineChars="500" w:firstLine="1212"/>
        <w:textAlignment w:val="baseline"/>
        <w:rPr>
          <w:rFonts w:ascii="ＭＳ 明朝" w:hAnsi="Times New Roman"/>
          <w:spacing w:val="2"/>
          <w:kern w:val="0"/>
          <w:szCs w:val="21"/>
        </w:rPr>
      </w:pPr>
      <w:r w:rsidRPr="00444B47">
        <w:rPr>
          <w:rFonts w:ascii="Times New Roman" w:hAnsi="Times New Roman" w:cs="ＭＳ 明朝" w:hint="eastAsia"/>
          <w:kern w:val="0"/>
          <w:szCs w:val="21"/>
        </w:rPr>
        <w:t>深夜・早朝割増適用時間に運送した運送距離に対応する基準運賃×０．３</w:t>
      </w:r>
    </w:p>
    <w:p w:rsidR="00520B60" w:rsidRPr="00444B47" w:rsidRDefault="00520B60" w:rsidP="00520B60">
      <w:pPr>
        <w:overflowPunct w:val="0"/>
        <w:textAlignment w:val="baseline"/>
        <w:rPr>
          <w:rFonts w:ascii="ＭＳ 明朝" w:hAnsi="Times New Roman"/>
          <w:spacing w:val="2"/>
          <w:kern w:val="0"/>
          <w:szCs w:val="21"/>
        </w:rPr>
      </w:pPr>
    </w:p>
    <w:p w:rsidR="00520B60" w:rsidRPr="00444B47" w:rsidRDefault="00520B60" w:rsidP="00520B60">
      <w:pPr>
        <w:overflowPunct w:val="0"/>
        <w:ind w:firstLineChars="100" w:firstLine="242"/>
        <w:textAlignment w:val="baseline"/>
        <w:rPr>
          <w:rFonts w:ascii="ＭＳ 明朝" w:hAnsi="Times New Roman"/>
          <w:spacing w:val="2"/>
          <w:kern w:val="0"/>
          <w:szCs w:val="21"/>
        </w:rPr>
      </w:pPr>
      <w:r w:rsidRPr="00444B47">
        <w:rPr>
          <w:rFonts w:ascii="Times New Roman" w:hAnsi="Times New Roman" w:cs="ＭＳ 明朝" w:hint="eastAsia"/>
          <w:kern w:val="0"/>
          <w:szCs w:val="21"/>
        </w:rPr>
        <w:t>（特別割引）</w:t>
      </w:r>
    </w:p>
    <w:p w:rsidR="00520B60" w:rsidRPr="00444B47" w:rsidRDefault="00520B60" w:rsidP="00520B60">
      <w:pPr>
        <w:overflowPunct w:val="0"/>
        <w:ind w:left="242" w:hangingChars="100" w:hanging="242"/>
        <w:textAlignment w:val="baseline"/>
        <w:rPr>
          <w:rFonts w:ascii="ＭＳ 明朝" w:hAnsi="Times New Roman"/>
          <w:spacing w:val="2"/>
          <w:kern w:val="0"/>
          <w:szCs w:val="21"/>
        </w:rPr>
      </w:pPr>
      <w:r w:rsidRPr="00444B47">
        <w:rPr>
          <w:rFonts w:ascii="Times New Roman" w:hAnsi="Times New Roman" w:cs="ＭＳ 明朝" w:hint="eastAsia"/>
          <w:kern w:val="0"/>
          <w:szCs w:val="21"/>
        </w:rPr>
        <w:t>1</w:t>
      </w:r>
      <w:r w:rsidR="00C17874" w:rsidRPr="00444B47">
        <w:rPr>
          <w:rFonts w:ascii="Times New Roman" w:hAnsi="Times New Roman" w:cs="ＭＳ 明朝" w:hint="eastAsia"/>
          <w:kern w:val="0"/>
          <w:szCs w:val="21"/>
        </w:rPr>
        <w:t>1</w:t>
      </w:r>
      <w:r w:rsidR="00C17874" w:rsidRPr="00444B47">
        <w:rPr>
          <w:rFonts w:ascii="Times New Roman" w:hAnsi="Times New Roman" w:cs="ＭＳ 明朝" w:hint="eastAsia"/>
          <w:kern w:val="0"/>
          <w:szCs w:val="21"/>
        </w:rPr>
        <w:t xml:space="preserve">　</w:t>
      </w:r>
      <w:r w:rsidRPr="00444B47">
        <w:rPr>
          <w:rFonts w:ascii="Times New Roman" w:hAnsi="Times New Roman" w:cs="ＭＳ 明朝" w:hint="eastAsia"/>
          <w:kern w:val="0"/>
          <w:szCs w:val="21"/>
        </w:rPr>
        <w:t>１年以上の契約（文書をもって運送契約を締結したものに限ります。）により継続かつ反復して運送される貨物であって運行効率が著しくよいものについては、１０パーセント以内の割引率を適用することができます。</w:t>
      </w:r>
    </w:p>
    <w:p w:rsidR="00520B60" w:rsidRPr="00444B47" w:rsidRDefault="00520B60" w:rsidP="00520B60">
      <w:pPr>
        <w:overflowPunct w:val="0"/>
        <w:textAlignment w:val="baseline"/>
        <w:rPr>
          <w:rFonts w:ascii="Times New Roman" w:hAnsi="Times New Roman" w:cs="ＭＳ 明朝"/>
          <w:kern w:val="0"/>
          <w:szCs w:val="21"/>
        </w:rPr>
      </w:pPr>
    </w:p>
    <w:p w:rsidR="00520B60" w:rsidRPr="00444B47" w:rsidRDefault="00520B60" w:rsidP="00520B60">
      <w:pPr>
        <w:overflowPunct w:val="0"/>
        <w:ind w:firstLineChars="100" w:firstLine="242"/>
        <w:textAlignment w:val="baseline"/>
        <w:rPr>
          <w:rFonts w:ascii="ＭＳ 明朝" w:hAnsi="Times New Roman"/>
          <w:spacing w:val="2"/>
          <w:kern w:val="0"/>
          <w:szCs w:val="21"/>
        </w:rPr>
      </w:pPr>
      <w:r w:rsidRPr="00444B47">
        <w:rPr>
          <w:rFonts w:ascii="Times New Roman" w:hAnsi="Times New Roman" w:cs="ＭＳ 明朝" w:hint="eastAsia"/>
          <w:kern w:val="0"/>
          <w:szCs w:val="21"/>
        </w:rPr>
        <w:t>（貨物の積卸）</w:t>
      </w:r>
    </w:p>
    <w:p w:rsidR="00520B60" w:rsidRPr="00444B47" w:rsidRDefault="00C17874" w:rsidP="00520B60">
      <w:pPr>
        <w:rPr>
          <w:rFonts w:ascii="Times New Roman" w:hAnsi="Times New Roman" w:cs="ＭＳ 明朝"/>
          <w:kern w:val="0"/>
          <w:szCs w:val="21"/>
        </w:rPr>
      </w:pPr>
      <w:r w:rsidRPr="00444B47">
        <w:rPr>
          <w:rFonts w:ascii="Times New Roman" w:hAnsi="Times New Roman" w:cs="ＭＳ 明朝" w:hint="eastAsia"/>
          <w:kern w:val="0"/>
          <w:szCs w:val="21"/>
        </w:rPr>
        <w:t>12</w:t>
      </w:r>
      <w:r w:rsidRPr="00444B47">
        <w:rPr>
          <w:rFonts w:ascii="Times New Roman" w:hAnsi="Times New Roman" w:cs="ＭＳ 明朝" w:hint="eastAsia"/>
          <w:kern w:val="0"/>
          <w:szCs w:val="21"/>
        </w:rPr>
        <w:t xml:space="preserve">　</w:t>
      </w:r>
      <w:r w:rsidR="00520B60" w:rsidRPr="00444B47">
        <w:rPr>
          <w:rFonts w:ascii="Times New Roman" w:hAnsi="Times New Roman" w:cs="ＭＳ 明朝" w:hint="eastAsia"/>
          <w:kern w:val="0"/>
          <w:szCs w:val="21"/>
        </w:rPr>
        <w:t>貨物の積卸は荷主側が行うものとします。</w:t>
      </w:r>
    </w:p>
    <w:p w:rsidR="00520B60" w:rsidRPr="00444B47" w:rsidRDefault="00520B60" w:rsidP="00520B60">
      <w:pPr>
        <w:rPr>
          <w:szCs w:val="21"/>
        </w:rPr>
      </w:pPr>
    </w:p>
    <w:p w:rsidR="00520B60" w:rsidRPr="00444B47" w:rsidRDefault="00520B60" w:rsidP="00520B60">
      <w:pPr>
        <w:overflowPunct w:val="0"/>
        <w:ind w:firstLineChars="100" w:firstLine="242"/>
        <w:textAlignment w:val="baseline"/>
        <w:rPr>
          <w:rFonts w:ascii="ＭＳ 明朝" w:hAnsi="Times New Roman"/>
          <w:spacing w:val="2"/>
          <w:kern w:val="0"/>
          <w:szCs w:val="21"/>
        </w:rPr>
      </w:pPr>
      <w:r w:rsidRPr="00444B47">
        <w:rPr>
          <w:rFonts w:ascii="Times New Roman" w:hAnsi="Times New Roman" w:cs="ＭＳ 明朝" w:hint="eastAsia"/>
          <w:kern w:val="0"/>
          <w:szCs w:val="21"/>
        </w:rPr>
        <w:t>（消費税及び地方消費税の加算方法）</w:t>
      </w:r>
    </w:p>
    <w:p w:rsidR="00520B60" w:rsidRPr="00444B47" w:rsidRDefault="00C17874" w:rsidP="00520B60">
      <w:pPr>
        <w:overflowPunct w:val="0"/>
        <w:ind w:left="242" w:hangingChars="100" w:hanging="242"/>
        <w:textAlignment w:val="baseline"/>
        <w:rPr>
          <w:rFonts w:ascii="Times New Roman" w:hAnsi="Times New Roman" w:cs="ＭＳ 明朝"/>
          <w:kern w:val="0"/>
          <w:szCs w:val="21"/>
        </w:rPr>
      </w:pPr>
      <w:r w:rsidRPr="00444B47">
        <w:rPr>
          <w:rFonts w:ascii="Times New Roman" w:hAnsi="Times New Roman" w:cs="ＭＳ 明朝" w:hint="eastAsia"/>
          <w:kern w:val="0"/>
          <w:szCs w:val="21"/>
        </w:rPr>
        <w:t>13</w:t>
      </w:r>
      <w:r w:rsidRPr="00444B47">
        <w:rPr>
          <w:rFonts w:ascii="Times New Roman" w:hAnsi="Times New Roman" w:cs="ＭＳ 明朝" w:hint="eastAsia"/>
          <w:kern w:val="0"/>
          <w:szCs w:val="21"/>
        </w:rPr>
        <w:t xml:space="preserve">　</w:t>
      </w:r>
      <w:r w:rsidR="00520B60" w:rsidRPr="00444B47">
        <w:rPr>
          <w:rFonts w:ascii="Times New Roman" w:hAnsi="Times New Roman" w:cs="ＭＳ 明朝" w:hint="eastAsia"/>
          <w:kern w:val="0"/>
          <w:szCs w:val="21"/>
        </w:rPr>
        <w:t>運賃及び料金の総額に消費税法等に基づく税率を乗じて計算します。</w:t>
      </w:r>
    </w:p>
    <w:p w:rsidR="001828FC" w:rsidRPr="00444B47" w:rsidRDefault="00C17874" w:rsidP="00C17874">
      <w:pPr>
        <w:overflowPunct w:val="0"/>
        <w:ind w:firstLineChars="100" w:firstLine="242"/>
        <w:textAlignment w:val="baseline"/>
        <w:rPr>
          <w:rFonts w:ascii="Times New Roman" w:hAnsi="Times New Roman" w:cs="ＭＳ 明朝"/>
          <w:kern w:val="0"/>
          <w:szCs w:val="21"/>
        </w:rPr>
      </w:pPr>
      <w:r w:rsidRPr="00444B47">
        <w:rPr>
          <w:rFonts w:ascii="Times New Roman" w:hAnsi="Times New Roman" w:cs="ＭＳ 明朝" w:hint="eastAsia"/>
          <w:kern w:val="0"/>
          <w:szCs w:val="21"/>
        </w:rPr>
        <w:t>（</w:t>
      </w:r>
      <w:r w:rsidRPr="00444B47">
        <w:rPr>
          <w:rFonts w:ascii="Times New Roman" w:hAnsi="Times New Roman" w:cs="ＭＳ 明朝" w:hint="eastAsia"/>
          <w:kern w:val="0"/>
          <w:szCs w:val="21"/>
        </w:rPr>
        <w:t>2</w:t>
      </w:r>
      <w:r w:rsidR="00520B60" w:rsidRPr="00444B47">
        <w:rPr>
          <w:rFonts w:ascii="Times New Roman" w:hAnsi="Times New Roman" w:cs="ＭＳ 明朝" w:hint="eastAsia"/>
          <w:kern w:val="0"/>
          <w:szCs w:val="21"/>
        </w:rPr>
        <w:t>）前号により計算した金額に１円未満のは数が生じた場合は、１円単位に四捨五</w:t>
      </w:r>
    </w:p>
    <w:p w:rsidR="00520B60" w:rsidRPr="00444B47" w:rsidRDefault="00520B60" w:rsidP="00C17874">
      <w:pPr>
        <w:overflowPunct w:val="0"/>
        <w:ind w:firstLineChars="300" w:firstLine="727"/>
        <w:textAlignment w:val="baseline"/>
        <w:rPr>
          <w:rFonts w:ascii="ＭＳ 明朝" w:hAnsi="Times New Roman"/>
          <w:spacing w:val="2"/>
          <w:kern w:val="0"/>
          <w:szCs w:val="21"/>
        </w:rPr>
      </w:pPr>
      <w:r w:rsidRPr="00444B47">
        <w:rPr>
          <w:rFonts w:ascii="Times New Roman" w:hAnsi="Times New Roman" w:cs="ＭＳ 明朝" w:hint="eastAsia"/>
          <w:kern w:val="0"/>
          <w:szCs w:val="21"/>
        </w:rPr>
        <w:t>入します。</w:t>
      </w:r>
    </w:p>
    <w:p w:rsidR="00520B60" w:rsidRPr="00444B47" w:rsidRDefault="00520B60" w:rsidP="00520B60">
      <w:pPr>
        <w:overflowPunct w:val="0"/>
        <w:ind w:left="246" w:hangingChars="100" w:hanging="246"/>
        <w:textAlignment w:val="baseline"/>
        <w:rPr>
          <w:rFonts w:ascii="ＭＳ 明朝" w:hAnsi="Times New Roman"/>
          <w:spacing w:val="2"/>
          <w:kern w:val="0"/>
          <w:szCs w:val="21"/>
        </w:rPr>
      </w:pPr>
    </w:p>
    <w:p w:rsidR="00520B60" w:rsidRPr="00444B47" w:rsidRDefault="00520B60" w:rsidP="00520B60">
      <w:pPr>
        <w:overflowPunct w:val="0"/>
        <w:ind w:firstLineChars="100" w:firstLine="242"/>
        <w:textAlignment w:val="baseline"/>
        <w:rPr>
          <w:rFonts w:ascii="ＭＳ 明朝" w:hAnsi="Times New Roman"/>
          <w:spacing w:val="2"/>
          <w:kern w:val="0"/>
          <w:szCs w:val="21"/>
        </w:rPr>
      </w:pPr>
      <w:r w:rsidRPr="00444B47">
        <w:rPr>
          <w:rFonts w:ascii="Times New Roman" w:hAnsi="Times New Roman" w:cs="ＭＳ 明朝" w:hint="eastAsia"/>
          <w:kern w:val="0"/>
          <w:szCs w:val="21"/>
        </w:rPr>
        <w:t>（実費負担）</w:t>
      </w:r>
    </w:p>
    <w:p w:rsidR="00520B60" w:rsidRPr="00444B47" w:rsidRDefault="00117463" w:rsidP="00520B60">
      <w:pPr>
        <w:overflowPunct w:val="0"/>
        <w:ind w:left="242" w:hangingChars="100" w:hanging="242"/>
        <w:textAlignment w:val="baseline"/>
        <w:rPr>
          <w:rFonts w:ascii="ＭＳ 明朝" w:hAnsi="Times New Roman"/>
          <w:spacing w:val="2"/>
          <w:kern w:val="0"/>
          <w:szCs w:val="21"/>
        </w:rPr>
      </w:pPr>
      <w:r w:rsidRPr="00444B47">
        <w:rPr>
          <w:rFonts w:ascii="Times New Roman" w:hAnsi="Times New Roman" w:cs="ＭＳ 明朝" w:hint="eastAsia"/>
          <w:kern w:val="0"/>
          <w:szCs w:val="21"/>
        </w:rPr>
        <w:t>1</w:t>
      </w:r>
      <w:r w:rsidR="00C17874" w:rsidRPr="00444B47">
        <w:rPr>
          <w:rFonts w:ascii="Times New Roman" w:hAnsi="Times New Roman" w:cs="ＭＳ 明朝" w:hint="eastAsia"/>
          <w:kern w:val="0"/>
          <w:szCs w:val="21"/>
        </w:rPr>
        <w:t>4</w:t>
      </w:r>
      <w:r w:rsidR="00C17874" w:rsidRPr="00444B47">
        <w:rPr>
          <w:rFonts w:ascii="Times New Roman" w:hAnsi="Times New Roman" w:cs="ＭＳ 明朝" w:hint="eastAsia"/>
          <w:kern w:val="0"/>
          <w:szCs w:val="21"/>
        </w:rPr>
        <w:t xml:space="preserve">　</w:t>
      </w:r>
      <w:r w:rsidR="00520B60" w:rsidRPr="00444B47">
        <w:rPr>
          <w:rFonts w:ascii="Times New Roman" w:hAnsi="Times New Roman" w:cs="ＭＳ 明朝" w:hint="eastAsia"/>
          <w:kern w:val="0"/>
          <w:szCs w:val="21"/>
        </w:rPr>
        <w:t>荷主の指示による運送にともなう特別の負担（有料道路利用料、自動車航送船利用料、後衛車の費用、助手の費用、運送事業者側の積卸設備を使用して行う積卸作業の費用、その他運送に関連して求められるサービスに対する対価）は実費として収受します。</w:t>
      </w:r>
    </w:p>
    <w:p w:rsidR="00520B60" w:rsidRPr="00444B47" w:rsidRDefault="00520B60" w:rsidP="00520B60">
      <w:pPr>
        <w:overflowPunct w:val="0"/>
        <w:textAlignment w:val="baseline"/>
        <w:rPr>
          <w:rFonts w:ascii="Times New Roman" w:hAnsi="Times New Roman" w:cs="ＭＳ 明朝"/>
          <w:kern w:val="0"/>
          <w:szCs w:val="21"/>
        </w:rPr>
      </w:pPr>
    </w:p>
    <w:p w:rsidR="00C17874" w:rsidRPr="00444B47" w:rsidRDefault="00C17874" w:rsidP="00117463">
      <w:pPr>
        <w:overflowPunct w:val="0"/>
        <w:ind w:left="242" w:hangingChars="100" w:hanging="242"/>
        <w:textAlignment w:val="baseline"/>
        <w:rPr>
          <w:rFonts w:ascii="Times New Roman" w:hAnsi="Times New Roman" w:cs="ＭＳ 明朝"/>
          <w:kern w:val="0"/>
          <w:szCs w:val="21"/>
        </w:rPr>
      </w:pPr>
      <w:r w:rsidRPr="00444B47">
        <w:rPr>
          <w:rFonts w:ascii="Times New Roman" w:hAnsi="Times New Roman" w:cs="ＭＳ 明朝"/>
          <w:kern w:val="0"/>
          <w:szCs w:val="21"/>
        </w:rPr>
        <w:t>1</w:t>
      </w:r>
      <w:r w:rsidRPr="00444B47">
        <w:rPr>
          <w:rFonts w:ascii="Times New Roman" w:hAnsi="Times New Roman" w:cs="ＭＳ 明朝" w:hint="eastAsia"/>
          <w:kern w:val="0"/>
          <w:szCs w:val="21"/>
        </w:rPr>
        <w:t>4-1</w:t>
      </w:r>
      <w:r w:rsidRPr="00444B47">
        <w:rPr>
          <w:rFonts w:ascii="Times New Roman" w:hAnsi="Times New Roman" w:cs="ＭＳ 明朝" w:hint="eastAsia"/>
          <w:kern w:val="0"/>
          <w:szCs w:val="21"/>
        </w:rPr>
        <w:t xml:space="preserve">　</w:t>
      </w:r>
      <w:r w:rsidR="00117463" w:rsidRPr="00444B47">
        <w:rPr>
          <w:rFonts w:ascii="Times New Roman" w:hAnsi="Times New Roman" w:cs="ＭＳ 明朝" w:hint="eastAsia"/>
          <w:kern w:val="0"/>
          <w:szCs w:val="21"/>
        </w:rPr>
        <w:t>荷主の要求により行う品代金の取立て、荷掛金の立替え、貨物の荷造り、仕分、保</w:t>
      </w:r>
    </w:p>
    <w:p w:rsidR="00C17874" w:rsidRPr="00444B47" w:rsidRDefault="00117463" w:rsidP="00C17874">
      <w:pPr>
        <w:overflowPunct w:val="0"/>
        <w:ind w:leftChars="100" w:left="242" w:firstLineChars="100" w:firstLine="242"/>
        <w:textAlignment w:val="baseline"/>
        <w:rPr>
          <w:rFonts w:ascii="Times New Roman" w:hAnsi="Times New Roman" w:cs="ＭＳ 明朝"/>
          <w:kern w:val="0"/>
          <w:szCs w:val="21"/>
        </w:rPr>
      </w:pPr>
      <w:r w:rsidRPr="00444B47">
        <w:rPr>
          <w:rFonts w:ascii="Times New Roman" w:hAnsi="Times New Roman" w:cs="ＭＳ 明朝" w:hint="eastAsia"/>
          <w:kern w:val="0"/>
          <w:szCs w:val="21"/>
        </w:rPr>
        <w:t>管、検収及び検品、横持ち及び縦持ち、棚入れ、ラベル貼り、はい作業その他の附帯</w:t>
      </w:r>
    </w:p>
    <w:p w:rsidR="00117463" w:rsidRPr="00444B47" w:rsidRDefault="00117463" w:rsidP="00C17874">
      <w:pPr>
        <w:overflowPunct w:val="0"/>
        <w:ind w:leftChars="100" w:left="242" w:firstLineChars="100" w:firstLine="242"/>
        <w:textAlignment w:val="baseline"/>
        <w:rPr>
          <w:rFonts w:ascii="Times New Roman" w:hAnsi="Times New Roman" w:cs="ＭＳ 明朝"/>
          <w:kern w:val="0"/>
          <w:szCs w:val="21"/>
        </w:rPr>
      </w:pPr>
      <w:r w:rsidRPr="00444B47">
        <w:rPr>
          <w:rFonts w:ascii="Times New Roman" w:hAnsi="Times New Roman" w:cs="ＭＳ 明朝" w:hint="eastAsia"/>
          <w:kern w:val="0"/>
          <w:szCs w:val="21"/>
        </w:rPr>
        <w:t>業務に伴う費用は、実費として収受します。</w:t>
      </w:r>
    </w:p>
    <w:p w:rsidR="00117463" w:rsidRPr="00444B47" w:rsidRDefault="00117463" w:rsidP="00520B60">
      <w:pPr>
        <w:overflowPunct w:val="0"/>
        <w:textAlignment w:val="baseline"/>
        <w:rPr>
          <w:rFonts w:ascii="Times New Roman" w:hAnsi="Times New Roman" w:cs="ＭＳ 明朝"/>
          <w:kern w:val="0"/>
          <w:szCs w:val="21"/>
        </w:rPr>
      </w:pPr>
    </w:p>
    <w:p w:rsidR="003A4825" w:rsidRPr="00444B47" w:rsidRDefault="003A4825" w:rsidP="003A4825">
      <w:pPr>
        <w:overflowPunct w:val="0"/>
        <w:ind w:firstLineChars="100" w:firstLine="242"/>
        <w:textAlignment w:val="baseline"/>
        <w:rPr>
          <w:rFonts w:ascii="ＭＳ 明朝" w:hAnsi="Times New Roman"/>
          <w:spacing w:val="2"/>
          <w:kern w:val="0"/>
          <w:szCs w:val="21"/>
        </w:rPr>
      </w:pPr>
      <w:r w:rsidRPr="00444B47">
        <w:rPr>
          <w:rFonts w:ascii="Times New Roman" w:hAnsi="Times New Roman" w:cs="ＭＳ 明朝" w:hint="eastAsia"/>
          <w:kern w:val="0"/>
          <w:szCs w:val="21"/>
        </w:rPr>
        <w:t>（適用区域）</w:t>
      </w:r>
    </w:p>
    <w:p w:rsidR="003A4825" w:rsidRPr="00444B47" w:rsidRDefault="003A4825" w:rsidP="003A4825">
      <w:pPr>
        <w:overflowPunct w:val="0"/>
        <w:textAlignment w:val="baseline"/>
        <w:rPr>
          <w:rFonts w:ascii="Times New Roman" w:hAnsi="Times New Roman" w:cs="ＭＳ 明朝"/>
          <w:kern w:val="0"/>
          <w:szCs w:val="21"/>
        </w:rPr>
      </w:pPr>
      <w:r w:rsidRPr="00444B47">
        <w:rPr>
          <w:rFonts w:ascii="Times New Roman" w:hAnsi="Times New Roman" w:cs="ＭＳ 明朝" w:hint="eastAsia"/>
          <w:kern w:val="0"/>
          <w:szCs w:val="21"/>
        </w:rPr>
        <w:t>15</w:t>
      </w:r>
      <w:r w:rsidRPr="00444B47">
        <w:rPr>
          <w:rFonts w:ascii="Times New Roman" w:hAnsi="Times New Roman" w:cs="ＭＳ 明朝" w:hint="eastAsia"/>
          <w:kern w:val="0"/>
          <w:szCs w:val="21"/>
        </w:rPr>
        <w:t xml:space="preserve">　この運賃及び料金は、一般区域貨物自動車運送事業者が免許を受けた自己の事業区域</w:t>
      </w:r>
    </w:p>
    <w:p w:rsidR="003A4825" w:rsidRPr="00444B47" w:rsidRDefault="003A4825" w:rsidP="003A4825">
      <w:pPr>
        <w:overflowPunct w:val="0"/>
        <w:ind w:firstLineChars="100" w:firstLine="242"/>
        <w:textAlignment w:val="baseline"/>
        <w:rPr>
          <w:rFonts w:ascii="Times New Roman" w:hAnsi="Times New Roman" w:cs="ＭＳ 明朝"/>
          <w:kern w:val="0"/>
          <w:szCs w:val="21"/>
        </w:rPr>
      </w:pPr>
      <w:r w:rsidRPr="00444B47">
        <w:rPr>
          <w:rFonts w:ascii="Times New Roman" w:hAnsi="Times New Roman" w:cs="ＭＳ 明朝" w:hint="eastAsia"/>
          <w:kern w:val="0"/>
          <w:szCs w:val="21"/>
        </w:rPr>
        <w:t>内に発地又は着地が存する貨物を運送する場合に適用します。</w:t>
      </w:r>
    </w:p>
    <w:p w:rsidR="003A4825" w:rsidRPr="00444B47" w:rsidRDefault="003A4825" w:rsidP="00520B60">
      <w:pPr>
        <w:overflowPunct w:val="0"/>
        <w:textAlignment w:val="baseline"/>
        <w:rPr>
          <w:rFonts w:ascii="Times New Roman" w:hAnsi="Times New Roman" w:cs="ＭＳ 明朝"/>
          <w:kern w:val="0"/>
          <w:szCs w:val="21"/>
        </w:rPr>
      </w:pPr>
    </w:p>
    <w:p w:rsidR="00520B60" w:rsidRPr="00444B47" w:rsidRDefault="00520B60" w:rsidP="00520B60">
      <w:pPr>
        <w:overflowPunct w:val="0"/>
        <w:ind w:firstLineChars="100" w:firstLine="242"/>
        <w:textAlignment w:val="baseline"/>
        <w:rPr>
          <w:rFonts w:ascii="ＭＳ 明朝" w:hAnsi="Times New Roman"/>
          <w:spacing w:val="2"/>
          <w:kern w:val="0"/>
          <w:szCs w:val="21"/>
        </w:rPr>
      </w:pPr>
      <w:r w:rsidRPr="00444B47">
        <w:rPr>
          <w:rFonts w:ascii="Times New Roman" w:hAnsi="Times New Roman" w:cs="ＭＳ 明朝" w:hint="eastAsia"/>
          <w:kern w:val="0"/>
          <w:szCs w:val="21"/>
        </w:rPr>
        <w:t>（その他）</w:t>
      </w:r>
    </w:p>
    <w:p w:rsidR="00520B60" w:rsidRPr="00444B47" w:rsidRDefault="00520B60" w:rsidP="00520B60">
      <w:pPr>
        <w:overflowPunct w:val="0"/>
        <w:ind w:left="242" w:hangingChars="100" w:hanging="242"/>
        <w:textAlignment w:val="baseline"/>
        <w:rPr>
          <w:rFonts w:ascii="Times New Roman" w:hAnsi="Times New Roman" w:cs="ＭＳ 明朝"/>
          <w:kern w:val="0"/>
          <w:szCs w:val="21"/>
        </w:rPr>
      </w:pPr>
      <w:r w:rsidRPr="00444B47">
        <w:rPr>
          <w:rFonts w:ascii="Times New Roman" w:hAnsi="Times New Roman" w:cs="ＭＳ 明朝" w:hint="eastAsia"/>
          <w:kern w:val="0"/>
          <w:szCs w:val="21"/>
        </w:rPr>
        <w:t>1</w:t>
      </w:r>
      <w:r w:rsidR="003A4825" w:rsidRPr="00444B47">
        <w:rPr>
          <w:rFonts w:ascii="Times New Roman" w:hAnsi="Times New Roman" w:cs="ＭＳ 明朝" w:hint="eastAsia"/>
          <w:kern w:val="0"/>
          <w:szCs w:val="21"/>
        </w:rPr>
        <w:t>6</w:t>
      </w:r>
      <w:r w:rsidRPr="00444B47">
        <w:rPr>
          <w:rFonts w:ascii="Times New Roman" w:hAnsi="Times New Roman" w:cs="ＭＳ 明朝" w:hint="eastAsia"/>
          <w:kern w:val="0"/>
          <w:szCs w:val="21"/>
        </w:rPr>
        <w:t>．時間専属契約又は最大積載量１２，０００キログラム未満の車両であってこの運賃及び料金によりがたい場合は、一般貨物自動車運送事業の貸切運賃料金を適用します。</w:t>
      </w:r>
    </w:p>
    <w:p w:rsidR="00520B60" w:rsidRPr="00444B47" w:rsidRDefault="00520B60" w:rsidP="00520B60">
      <w:pPr>
        <w:overflowPunct w:val="0"/>
        <w:ind w:left="242" w:hangingChars="100" w:hanging="242"/>
        <w:textAlignment w:val="baseline"/>
        <w:rPr>
          <w:rFonts w:ascii="Times New Roman" w:hAnsi="Times New Roman" w:cs="ＭＳ 明朝"/>
          <w:kern w:val="0"/>
          <w:szCs w:val="21"/>
        </w:rPr>
      </w:pPr>
    </w:p>
    <w:p w:rsidR="00520B60" w:rsidRPr="00444B47" w:rsidRDefault="00117463" w:rsidP="00520B60">
      <w:pPr>
        <w:overflowPunct w:val="0"/>
        <w:ind w:left="242" w:hangingChars="100" w:hanging="242"/>
        <w:textAlignment w:val="baseline"/>
        <w:rPr>
          <w:rFonts w:ascii="Times New Roman" w:hAnsi="Times New Roman" w:cs="ＭＳ 明朝"/>
          <w:kern w:val="0"/>
          <w:szCs w:val="21"/>
        </w:rPr>
      </w:pPr>
      <w:r w:rsidRPr="00444B47">
        <w:rPr>
          <w:rFonts w:ascii="Times New Roman" w:hAnsi="Times New Roman" w:cs="ＭＳ 明朝" w:hint="eastAsia"/>
          <w:kern w:val="0"/>
          <w:szCs w:val="21"/>
        </w:rPr>
        <w:lastRenderedPageBreak/>
        <w:t>1</w:t>
      </w:r>
      <w:r w:rsidR="003A4825" w:rsidRPr="00444B47">
        <w:rPr>
          <w:rFonts w:ascii="Times New Roman" w:hAnsi="Times New Roman" w:cs="ＭＳ 明朝" w:hint="eastAsia"/>
          <w:kern w:val="0"/>
          <w:szCs w:val="21"/>
        </w:rPr>
        <w:t>7</w:t>
      </w:r>
      <w:r w:rsidR="00847FF3" w:rsidRPr="00444B47">
        <w:rPr>
          <w:rFonts w:ascii="Times New Roman" w:hAnsi="Times New Roman" w:cs="ＭＳ 明朝" w:hint="eastAsia"/>
          <w:kern w:val="0"/>
          <w:szCs w:val="21"/>
        </w:rPr>
        <w:t>．この運賃及び料金の適用に関して、この適用方に定めのない事項</w:t>
      </w:r>
      <w:r w:rsidR="00520B60" w:rsidRPr="00444B47">
        <w:rPr>
          <w:rFonts w:ascii="Times New Roman" w:hAnsi="Times New Roman" w:cs="ＭＳ 明朝" w:hint="eastAsia"/>
          <w:kern w:val="0"/>
          <w:szCs w:val="21"/>
        </w:rPr>
        <w:t>については、法令に反しない範囲内で、当事者間の取決め又は慣習によるものとします。</w:t>
      </w:r>
    </w:p>
    <w:p w:rsidR="003A1468" w:rsidRPr="00444B47" w:rsidRDefault="003A1468"/>
    <w:sectPr w:rsidR="003A1468" w:rsidRPr="00444B47" w:rsidSect="00AC4E0C">
      <w:pgSz w:w="11906" w:h="16838" w:code="9"/>
      <w:pgMar w:top="1304" w:right="1021" w:bottom="1077" w:left="1191" w:header="851" w:footer="992" w:gutter="0"/>
      <w:cols w:space="425"/>
      <w:docGrid w:type="linesAndChars" w:linePitch="321" w:charSpace="66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6B6" w:rsidRDefault="00E876B6" w:rsidP="009C2B2F">
      <w:r>
        <w:separator/>
      </w:r>
    </w:p>
  </w:endnote>
  <w:endnote w:type="continuationSeparator" w:id="0">
    <w:p w:rsidR="00E876B6" w:rsidRDefault="00E876B6"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6B6" w:rsidRDefault="00E876B6" w:rsidP="009C2B2F">
      <w:r>
        <w:separator/>
      </w:r>
    </w:p>
  </w:footnote>
  <w:footnote w:type="continuationSeparator" w:id="0">
    <w:p w:rsidR="00E876B6" w:rsidRDefault="00E876B6" w:rsidP="009C2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60"/>
    <w:rsid w:val="00117463"/>
    <w:rsid w:val="001640FD"/>
    <w:rsid w:val="001828FC"/>
    <w:rsid w:val="001B7267"/>
    <w:rsid w:val="002C1FBA"/>
    <w:rsid w:val="003315AD"/>
    <w:rsid w:val="003A1468"/>
    <w:rsid w:val="003A4825"/>
    <w:rsid w:val="00440C00"/>
    <w:rsid w:val="00444B47"/>
    <w:rsid w:val="00520B60"/>
    <w:rsid w:val="00586F40"/>
    <w:rsid w:val="005D1D68"/>
    <w:rsid w:val="006570E9"/>
    <w:rsid w:val="00682235"/>
    <w:rsid w:val="00754DC7"/>
    <w:rsid w:val="007A6137"/>
    <w:rsid w:val="00847FF3"/>
    <w:rsid w:val="008838AB"/>
    <w:rsid w:val="008935C2"/>
    <w:rsid w:val="008F06E4"/>
    <w:rsid w:val="00947308"/>
    <w:rsid w:val="00974D72"/>
    <w:rsid w:val="009C2B2F"/>
    <w:rsid w:val="00A1471A"/>
    <w:rsid w:val="00A53BEF"/>
    <w:rsid w:val="00AC2625"/>
    <w:rsid w:val="00B17D68"/>
    <w:rsid w:val="00BE3D93"/>
    <w:rsid w:val="00C12C7A"/>
    <w:rsid w:val="00C17874"/>
    <w:rsid w:val="00DF56A0"/>
    <w:rsid w:val="00E876B6"/>
    <w:rsid w:val="00EB4B6D"/>
    <w:rsid w:val="00EF7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B6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2B2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9C2B2F"/>
  </w:style>
  <w:style w:type="paragraph" w:styleId="a5">
    <w:name w:val="footer"/>
    <w:basedOn w:val="a"/>
    <w:link w:val="a6"/>
    <w:uiPriority w:val="99"/>
    <w:semiHidden/>
    <w:unhideWhenUsed/>
    <w:rsid w:val="009C2B2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9C2B2F"/>
  </w:style>
  <w:style w:type="character" w:styleId="a7">
    <w:name w:val="Placeholder Text"/>
    <w:basedOn w:val="a0"/>
    <w:uiPriority w:val="99"/>
    <w:semiHidden/>
    <w:rsid w:val="009C2B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8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62053-283A-42D4-AC28-1D81D891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375</Words>
  <Characters>2142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2017-10-06T01:15:00Z</dcterms:created>
  <dcterms:modified xsi:type="dcterms:W3CDTF">2017-10-19T07:16:00Z</dcterms:modified>
</cp:coreProperties>
</file>