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F676" w14:textId="77777777" w:rsidR="00FF1CE0" w:rsidRPr="00CB1A2A" w:rsidRDefault="00FF1CE0" w:rsidP="00FF1CE0">
      <w:pPr>
        <w:pStyle w:val="a3"/>
        <w:jc w:val="right"/>
        <w:rPr>
          <w:spacing w:val="0"/>
          <w:sz w:val="21"/>
          <w:szCs w:val="21"/>
          <w:bdr w:val="single" w:sz="4" w:space="0" w:color="auto"/>
        </w:rPr>
      </w:pPr>
      <w:r>
        <w:rPr>
          <w:rFonts w:hint="eastAsia"/>
          <w:spacing w:val="0"/>
          <w:sz w:val="21"/>
          <w:szCs w:val="21"/>
          <w:bdr w:val="single" w:sz="4" w:space="0" w:color="auto"/>
        </w:rPr>
        <w:t>別添１</w:t>
      </w:r>
    </w:p>
    <w:p w14:paraId="44C8E283" w14:textId="179BEF3F" w:rsidR="00C33717" w:rsidRDefault="00C33717" w:rsidP="00EE1D4E">
      <w:pPr>
        <w:pStyle w:val="a3"/>
        <w:jc w:val="right"/>
        <w:rPr>
          <w:spacing w:val="0"/>
          <w:sz w:val="21"/>
          <w:szCs w:val="21"/>
          <w:bdr w:val="single" w:sz="4" w:space="0" w:color="auto"/>
        </w:rPr>
      </w:pPr>
    </w:p>
    <w:p w14:paraId="6F4D79EB" w14:textId="3228BB85"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4C04746B"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は、海上運送法施行規則第７条の２の２に規定された要件に該当する者の中から安全統括管理者を選任する。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1F3024A"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は、安全統括管理者の意見を聴いて海上運送法施行規則第７条の２の３に規定する要件に該当する者の中から運航管理者を選任する。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9AC" w14:textId="77777777" w:rsidR="00FE6E91" w:rsidRDefault="00FE6E91" w:rsidP="00145913">
      <w:r>
        <w:separator/>
      </w:r>
    </w:p>
  </w:endnote>
  <w:endnote w:type="continuationSeparator" w:id="0">
    <w:p w14:paraId="0E9D656F" w14:textId="77777777" w:rsidR="00FE6E91" w:rsidRDefault="00FE6E91"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F91" w14:textId="77777777" w:rsidR="00FE6E91" w:rsidRDefault="00FE6E91" w:rsidP="00145913">
      <w:r>
        <w:separator/>
      </w:r>
    </w:p>
  </w:footnote>
  <w:footnote w:type="continuationSeparator" w:id="0">
    <w:p w14:paraId="070A6E28" w14:textId="77777777" w:rsidR="00FE6E91" w:rsidRDefault="00FE6E91"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33797</Words>
  <Characters>3500</Characters>
  <DocSecurity>0</DocSecurity>
  <Lines>29</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