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2861FC">
      <w:pPr>
        <w:spacing w:line="1" w:lineRule="exact"/>
        <w:rPr>
          <w:rFonts w:ascii="ＭＳ ゴシック" w:eastAsia="ＭＳ ゴシック" w:hAnsi="ＭＳ ゴシック"/>
        </w:rPr>
      </w:pPr>
    </w:p>
    <w:p w:rsidR="002861FC" w:rsidRPr="00E6498E" w:rsidRDefault="00E6498E">
      <w:pPr>
        <w:pStyle w:val="40"/>
        <w:framePr w:w="2107" w:h="250" w:wrap="none" w:hAnchor="page" w:x="9289" w:y="1"/>
        <w:shd w:val="clear" w:color="auto" w:fill="auto"/>
        <w:rPr>
          <w:rFonts w:ascii="ＭＳ ゴシック" w:eastAsia="ＭＳ ゴシック" w:hAnsi="ＭＳ ゴシック"/>
        </w:rPr>
      </w:pPr>
      <w:r w:rsidRPr="00E6498E">
        <w:rPr>
          <w:rFonts w:ascii="ＭＳ ゴシック" w:eastAsia="ＭＳ ゴシック" w:hAnsi="ＭＳ ゴシック"/>
        </w:rPr>
        <w:t>&lt;危険品(工作物)倉庫用&gt;</w:t>
      </w:r>
    </w:p>
    <w:p w:rsidR="006606DA" w:rsidRPr="00FD3602" w:rsidRDefault="006606DA" w:rsidP="006606DA">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tbl>
      <w:tblPr>
        <w:tblpPr w:leftFromText="142" w:rightFromText="142" w:vertAnchor="text" w:tblpY="749"/>
        <w:tblOverlap w:val="never"/>
        <w:tblW w:w="0" w:type="auto"/>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6606DA" w:rsidRPr="00E6498E" w:rsidTr="006606DA">
        <w:trPr>
          <w:trHeight w:hRule="exact" w:val="466"/>
        </w:trPr>
        <w:tc>
          <w:tcPr>
            <w:tcW w:w="581" w:type="dxa"/>
            <w:vMerge w:val="restart"/>
            <w:tcBorders>
              <w:top w:val="single" w:sz="4" w:space="0" w:color="auto"/>
              <w:left w:val="single" w:sz="4" w:space="0" w:color="auto"/>
            </w:tcBorders>
            <w:shd w:val="clear" w:color="auto" w:fill="FFFFFF"/>
            <w:vAlign w:val="center"/>
          </w:tcPr>
          <w:p w:rsidR="006606DA" w:rsidRPr="00322C04" w:rsidRDefault="006606DA" w:rsidP="006606DA">
            <w:pPr>
              <w:pStyle w:val="10"/>
              <w:shd w:val="clear" w:color="auto" w:fill="auto"/>
              <w:rPr>
                <w:rFonts w:ascii="ＭＳ ゴシック" w:eastAsia="ＭＳ ゴシック" w:hAnsi="ＭＳ ゴシック"/>
                <w:b/>
                <w:sz w:val="18"/>
                <w:szCs w:val="18"/>
              </w:rPr>
            </w:pPr>
            <w:bookmarkStart w:id="1" w:name="bookmark1"/>
            <w:r w:rsidRPr="00322C04">
              <w:rPr>
                <w:rFonts w:ascii="ＭＳ ゴシック" w:eastAsia="ＭＳ ゴシック" w:hAnsi="ＭＳ ゴシック"/>
                <w:b/>
                <w:sz w:val="18"/>
                <w:szCs w:val="18"/>
              </w:rPr>
              <w:t>項目</w:t>
            </w:r>
          </w:p>
          <w:p w:rsidR="006606DA" w:rsidRPr="00322C04" w:rsidRDefault="006606DA" w:rsidP="006606DA">
            <w:pPr>
              <w:pStyle w:val="10"/>
              <w:shd w:val="clear" w:color="auto" w:fill="auto"/>
              <w:rPr>
                <w:rFonts w:ascii="ＭＳ ゴシック" w:eastAsia="ＭＳ ゴシック" w:hAnsi="ＭＳ ゴシック"/>
                <w:b/>
                <w:sz w:val="18"/>
                <w:szCs w:val="18"/>
              </w:rPr>
            </w:pPr>
            <w:r w:rsidRPr="00322C04">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6606DA" w:rsidRPr="00322C04" w:rsidRDefault="006606DA" w:rsidP="006606DA">
            <w:pPr>
              <w:pStyle w:val="10"/>
              <w:shd w:val="clear" w:color="auto" w:fill="auto"/>
              <w:jc w:val="center"/>
              <w:rPr>
                <w:rFonts w:ascii="ＭＳ ゴシック" w:eastAsia="ＭＳ ゴシック" w:hAnsi="ＭＳ ゴシック"/>
                <w:b/>
                <w:sz w:val="20"/>
                <w:szCs w:val="20"/>
              </w:rPr>
            </w:pPr>
            <w:r w:rsidRPr="00322C04">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6606DA" w:rsidRPr="00322C04" w:rsidRDefault="006606DA" w:rsidP="006606DA">
            <w:pPr>
              <w:pStyle w:val="10"/>
              <w:shd w:val="clear" w:color="auto" w:fill="auto"/>
              <w:jc w:val="center"/>
              <w:rPr>
                <w:rFonts w:ascii="ＭＳ ゴシック" w:eastAsia="ＭＳ ゴシック" w:hAnsi="ＭＳ ゴシック"/>
                <w:b/>
                <w:sz w:val="26"/>
                <w:szCs w:val="26"/>
              </w:rPr>
            </w:pPr>
            <w:r w:rsidRPr="00322C04">
              <w:rPr>
                <w:rFonts w:ascii="ＭＳ ゴシック" w:eastAsia="ＭＳ ゴシック" w:hAnsi="ＭＳ ゴシック"/>
                <w:b/>
                <w:sz w:val="26"/>
                <w:szCs w:val="26"/>
              </w:rPr>
              <w:t>別添書類</w:t>
            </w:r>
          </w:p>
        </w:tc>
      </w:tr>
      <w:tr w:rsidR="006606DA" w:rsidRPr="00E6498E" w:rsidTr="006606DA">
        <w:trPr>
          <w:trHeight w:hRule="exact" w:val="466"/>
        </w:trPr>
        <w:tc>
          <w:tcPr>
            <w:tcW w:w="581" w:type="dxa"/>
            <w:vMerge/>
            <w:tcBorders>
              <w:left w:val="single" w:sz="4" w:space="0" w:color="auto"/>
            </w:tcBorders>
            <w:shd w:val="clear" w:color="auto" w:fill="FFFFFF"/>
            <w:vAlign w:val="center"/>
          </w:tcPr>
          <w:p w:rsidR="006606DA" w:rsidRPr="00322C04" w:rsidRDefault="006606DA" w:rsidP="006606DA">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6606DA" w:rsidRPr="00322C04" w:rsidRDefault="006606DA" w:rsidP="006606DA">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6606DA" w:rsidRPr="00322C04" w:rsidRDefault="006606DA" w:rsidP="006606DA">
            <w:pPr>
              <w:pStyle w:val="10"/>
              <w:shd w:val="clear" w:color="auto" w:fill="auto"/>
              <w:rPr>
                <w:rFonts w:ascii="ＭＳ ゴシック" w:eastAsia="ＭＳ ゴシック" w:hAnsi="ＭＳ ゴシック"/>
                <w:b/>
                <w:sz w:val="17"/>
                <w:szCs w:val="17"/>
              </w:rPr>
            </w:pPr>
            <w:r w:rsidRPr="00322C04">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6606DA" w:rsidRPr="00E6498E" w:rsidRDefault="006606DA" w:rsidP="006606DA">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6606DA" w:rsidRPr="00E6498E" w:rsidTr="006606DA">
        <w:trPr>
          <w:trHeight w:hRule="exact" w:val="461"/>
        </w:trPr>
        <w:tc>
          <w:tcPr>
            <w:tcW w:w="581" w:type="dxa"/>
            <w:tcBorders>
              <w:top w:val="single" w:sz="4" w:space="0" w:color="auto"/>
              <w:left w:val="single" w:sz="4" w:space="0" w:color="auto"/>
            </w:tcBorders>
            <w:shd w:val="clear" w:color="auto" w:fill="FFFFFF"/>
            <w:vAlign w:val="bottom"/>
          </w:tcPr>
          <w:p w:rsidR="006606DA" w:rsidRPr="00E6498E" w:rsidRDefault="006606DA" w:rsidP="006606DA">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6606DA" w:rsidRPr="00E6498E" w:rsidRDefault="006606DA" w:rsidP="006606DA">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倉庫の種類ごとに国土交通大臣の定める建築基準法その他の法令の規定に適合していること</w:t>
            </w:r>
          </w:p>
          <w:p w:rsidR="006606DA" w:rsidRPr="00E6498E" w:rsidRDefault="006606DA" w:rsidP="006606DA">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(2-1</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rPr>
              <w:t>2-2</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2-5</w:t>
            </w:r>
            <w:r w:rsidRPr="00E6498E">
              <w:rPr>
                <w:rFonts w:ascii="ＭＳ ゴシック" w:eastAsia="ＭＳ ゴシック" w:hAnsi="ＭＳ ゴシック"/>
                <w:sz w:val="16"/>
                <w:szCs w:val="16"/>
              </w:rPr>
              <w:t>のうち該当するものにマークすること。 )</w:t>
            </w:r>
          </w:p>
        </w:tc>
      </w:tr>
      <w:tr w:rsidR="006606DA" w:rsidRPr="00E6498E" w:rsidTr="006606DA">
        <w:trPr>
          <w:trHeight w:hRule="exact" w:val="581"/>
        </w:trPr>
        <w:tc>
          <w:tcPr>
            <w:tcW w:w="581" w:type="dxa"/>
            <w:tcBorders>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6606DA" w:rsidRPr="00E6498E" w:rsidRDefault="006606DA" w:rsidP="006606D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条第１項、港湾法第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条第１項若しくは第２項いずれかに該当する場合は、これら該当する規</w:t>
            </w:r>
            <w:r w:rsidRPr="00E6498E">
              <w:rPr>
                <w:rFonts w:ascii="ＭＳ ゴシック" w:eastAsia="ＭＳ ゴシック" w:hAnsi="ＭＳ ゴシック"/>
              </w:rPr>
              <w:t>定に適合している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1"/>
        </w:trPr>
        <w:tc>
          <w:tcPr>
            <w:tcW w:w="850" w:type="dxa"/>
            <w:gridSpan w:val="2"/>
            <w:vMerge w:val="restart"/>
            <w:tcBorders>
              <w:left w:val="single" w:sz="4" w:space="0" w:color="auto"/>
            </w:tcBorders>
            <w:shd w:val="clear" w:color="auto" w:fill="FFFFFF"/>
            <w:vAlign w:val="bottom"/>
          </w:tcPr>
          <w:p w:rsidR="006606DA" w:rsidRPr="00E6498E" w:rsidRDefault="006606DA" w:rsidP="006606D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6606DA" w:rsidRPr="00E6498E" w:rsidRDefault="006606DA" w:rsidP="006606D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6606DA" w:rsidRPr="00E6498E" w:rsidRDefault="006606DA" w:rsidP="006606D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6606DA" w:rsidRPr="00E6498E" w:rsidRDefault="006606DA" w:rsidP="006606D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消防法第</w:t>
            </w:r>
            <w:r w:rsidRPr="00E6498E">
              <w:rPr>
                <w:rFonts w:ascii="ＭＳ ゴシック" w:eastAsia="ＭＳ ゴシック" w:hAnsi="ＭＳ ゴシック" w:cs="Times New Roman"/>
              </w:rPr>
              <w:t>11</w:t>
            </w:r>
            <w:r w:rsidRPr="00E6498E">
              <w:rPr>
                <w:rFonts w:ascii="ＭＳ ゴシック" w:eastAsia="ＭＳ ゴシック" w:hAnsi="ＭＳ ゴシック"/>
              </w:rPr>
              <w:t>条の規定に適合している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6"/>
        </w:trPr>
        <w:tc>
          <w:tcPr>
            <w:tcW w:w="850" w:type="dxa"/>
            <w:gridSpan w:val="2"/>
            <w:vMerge/>
            <w:tcBorders>
              <w:left w:val="single" w:sz="4" w:space="0" w:color="auto"/>
            </w:tcBorders>
            <w:shd w:val="clear" w:color="auto" w:fill="FFFFFF"/>
            <w:vAlign w:val="bottom"/>
          </w:tcPr>
          <w:p w:rsidR="006606DA" w:rsidRPr="00E6498E" w:rsidRDefault="006606DA" w:rsidP="006606D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条第１項又は同法</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条の２第１項の規定に適合している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1"/>
        </w:trPr>
        <w:tc>
          <w:tcPr>
            <w:tcW w:w="850" w:type="dxa"/>
            <w:gridSpan w:val="2"/>
            <w:vMerge/>
            <w:tcBorders>
              <w:left w:val="single" w:sz="4" w:space="0" w:color="auto"/>
            </w:tcBorders>
            <w:shd w:val="clear" w:color="auto" w:fill="FFFFFF"/>
            <w:vAlign w:val="bottom"/>
          </w:tcPr>
          <w:p w:rsidR="006606DA" w:rsidRPr="00E6498E" w:rsidRDefault="006606DA" w:rsidP="006606D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液化石油ガス保安法第</w:t>
            </w:r>
            <w:r w:rsidRPr="00E6498E">
              <w:rPr>
                <w:rFonts w:ascii="ＭＳ ゴシック" w:eastAsia="ＭＳ ゴシック" w:hAnsi="ＭＳ ゴシック" w:cs="Times New Roman"/>
                <w:lang w:val="en-US" w:bidi="en-US"/>
              </w:rPr>
              <w:t>36</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6"/>
        </w:trPr>
        <w:tc>
          <w:tcPr>
            <w:tcW w:w="850" w:type="dxa"/>
            <w:gridSpan w:val="2"/>
            <w:vMerge/>
            <w:tcBorders>
              <w:left w:val="single" w:sz="4" w:space="0" w:color="auto"/>
            </w:tcBorders>
            <w:shd w:val="clear" w:color="auto" w:fill="FFFFFF"/>
            <w:vAlign w:val="bottom"/>
          </w:tcPr>
          <w:p w:rsidR="006606DA" w:rsidRPr="00E6498E" w:rsidRDefault="006606DA" w:rsidP="006606D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石油コンビナート等災害防止法第５条第１項の規定に適合している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917"/>
        </w:trPr>
        <w:tc>
          <w:tcPr>
            <w:tcW w:w="581"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6606DA" w:rsidRPr="00E6498E" w:rsidRDefault="006606DA" w:rsidP="006606DA">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条に定めるところにより消火器等の消火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542"/>
        </w:trPr>
        <w:tc>
          <w:tcPr>
            <w:tcW w:w="581"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6606DA" w:rsidRDefault="006606DA" w:rsidP="006606DA">
            <w:pPr>
              <w:pStyle w:val="10"/>
              <w:shd w:val="clear" w:color="auto" w:fill="auto"/>
              <w:rPr>
                <w:rFonts w:ascii="ＭＳ ゴシック" w:eastAsia="ＭＳ ゴシック" w:hAnsi="ＭＳ ゴシック"/>
                <w:b/>
                <w:sz w:val="18"/>
                <w:szCs w:val="18"/>
              </w:rPr>
            </w:pPr>
            <w:r w:rsidRPr="00E46AF2">
              <w:rPr>
                <w:rFonts w:ascii="ＭＳ ゴシック" w:eastAsia="ＭＳ ゴシック" w:hAnsi="ＭＳ ゴシック"/>
                <w:b/>
                <w:sz w:val="18"/>
                <w:szCs w:val="18"/>
              </w:rPr>
              <w:t>国土交通大臣の定める防犯上有効な構造及び設備を有していること</w:t>
            </w:r>
          </w:p>
          <w:p w:rsidR="006606DA" w:rsidRPr="001A2FA9" w:rsidRDefault="006606DA" w:rsidP="006606DA">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w:t>
            </w:r>
            <w:r>
              <w:rPr>
                <w:rFonts w:ascii="ＭＳ ゴシック" w:eastAsia="ＭＳ ゴシック" w:hAnsi="ＭＳ ゴシック"/>
                <w:sz w:val="16"/>
                <w:szCs w:val="16"/>
              </w:rPr>
              <w:t>ずれかを</w:t>
            </w:r>
            <w:r>
              <w:rPr>
                <w:rFonts w:ascii="ＭＳ ゴシック" w:eastAsia="ＭＳ ゴシック" w:hAnsi="ＭＳ ゴシック" w:hint="eastAsia"/>
                <w:sz w:val="16"/>
                <w:szCs w:val="16"/>
              </w:rPr>
              <w:t>マークすること)</w:t>
            </w:r>
          </w:p>
          <w:p w:rsidR="006606DA" w:rsidRPr="00E46AF2" w:rsidRDefault="006606DA" w:rsidP="006606DA">
            <w:pPr>
              <w:pStyle w:val="10"/>
              <w:shd w:val="clear" w:color="auto" w:fill="auto"/>
              <w:rPr>
                <w:rFonts w:ascii="ＭＳ ゴシック" w:eastAsia="ＭＳ ゴシック" w:hAnsi="ＭＳ ゴシック"/>
                <w:b/>
                <w:sz w:val="18"/>
                <w:szCs w:val="18"/>
              </w:rPr>
            </w:pPr>
          </w:p>
        </w:tc>
      </w:tr>
      <w:tr w:rsidR="006606DA" w:rsidRPr="00E6498E" w:rsidTr="006606DA">
        <w:trPr>
          <w:trHeight w:hRule="exact" w:val="461"/>
        </w:trPr>
        <w:tc>
          <w:tcPr>
            <w:tcW w:w="581" w:type="dxa"/>
            <w:tcBorders>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6606DA" w:rsidRPr="00E6498E" w:rsidRDefault="006606DA" w:rsidP="006606D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6"/>
        </w:trPr>
        <w:tc>
          <w:tcPr>
            <w:tcW w:w="850" w:type="dxa"/>
            <w:gridSpan w:val="2"/>
            <w:vMerge w:val="restart"/>
            <w:tcBorders>
              <w:left w:val="single" w:sz="4" w:space="0" w:color="auto"/>
            </w:tcBorders>
            <w:shd w:val="clear" w:color="auto" w:fill="FFFFFF"/>
            <w:vAlign w:val="bottom"/>
          </w:tcPr>
          <w:p w:rsidR="006606DA" w:rsidRPr="00E6498E" w:rsidRDefault="006606DA" w:rsidP="006606DA">
            <w:pPr>
              <w:pStyle w:val="10"/>
              <w:shd w:val="clear" w:color="auto" w:fill="auto"/>
              <w:spacing w:after="20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6606DA" w:rsidRPr="00E6498E" w:rsidRDefault="006606DA" w:rsidP="006606DA">
            <w:pPr>
              <w:pStyle w:val="10"/>
              <w:shd w:val="clear" w:color="auto" w:fill="auto"/>
              <w:spacing w:after="20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6606DA" w:rsidRPr="00E6498E" w:rsidRDefault="006606DA" w:rsidP="006606DA">
            <w:pPr>
              <w:pStyle w:val="10"/>
              <w:shd w:val="clear" w:color="auto" w:fill="auto"/>
              <w:spacing w:after="16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6606DA" w:rsidRPr="00E6498E" w:rsidRDefault="006606DA" w:rsidP="006606DA">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6606DA" w:rsidRPr="00E6498E" w:rsidRDefault="006606DA" w:rsidP="006606DA">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Pr="00E6498E">
              <w:rPr>
                <w:rFonts w:ascii="ＭＳ ゴシック" w:eastAsia="ＭＳ ゴシック" w:hAnsi="ＭＳ ゴシック"/>
                <w:lang w:val="en-US" w:bidi="en-US"/>
              </w:rPr>
              <w:t>等の事故の発生を警戒し、防止するため、警備業法(昭和</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年法律第</w:t>
            </w:r>
            <w:r w:rsidRPr="00E6498E">
              <w:rPr>
                <w:rFonts w:ascii="ＭＳ ゴシック" w:eastAsia="ＭＳ ゴシック" w:hAnsi="ＭＳ ゴシック" w:cs="Times New Roman"/>
                <w:lang w:val="en-US" w:bidi="en-US"/>
              </w:rPr>
              <w:t>117</w:t>
            </w:r>
            <w:r w:rsidRPr="00E6498E">
              <w:rPr>
                <w:rFonts w:ascii="ＭＳ ゴシック" w:eastAsia="ＭＳ ゴシック" w:hAnsi="ＭＳ ゴシック"/>
                <w:lang w:val="en-US" w:bidi="en-US"/>
              </w:rPr>
              <w:t>号)第２条第５項</w:t>
            </w:r>
            <w:r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1"/>
        </w:trPr>
        <w:tc>
          <w:tcPr>
            <w:tcW w:w="850" w:type="dxa"/>
            <w:gridSpan w:val="2"/>
            <w:vMerge/>
            <w:tcBorders>
              <w:left w:val="single" w:sz="4" w:space="0" w:color="auto"/>
            </w:tcBorders>
            <w:shd w:val="clear" w:color="auto" w:fill="FFFFFF"/>
            <w:vAlign w:val="bottom"/>
          </w:tcPr>
          <w:p w:rsidR="006606DA" w:rsidRPr="00E6498E" w:rsidRDefault="006606DA" w:rsidP="006606D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r w:rsidR="006606DA" w:rsidRPr="00E6498E" w:rsidTr="006606DA">
        <w:trPr>
          <w:trHeight w:hRule="exact" w:val="466"/>
        </w:trPr>
        <w:tc>
          <w:tcPr>
            <w:tcW w:w="850" w:type="dxa"/>
            <w:gridSpan w:val="2"/>
            <w:vMerge/>
            <w:tcBorders>
              <w:left w:val="single" w:sz="4" w:space="0" w:color="auto"/>
            </w:tcBorders>
            <w:shd w:val="clear" w:color="auto" w:fill="FFFFFF"/>
            <w:vAlign w:val="bottom"/>
          </w:tcPr>
          <w:p w:rsidR="006606DA" w:rsidRPr="00E6498E" w:rsidRDefault="006606DA" w:rsidP="006606D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6606DA" w:rsidRPr="00E6498E" w:rsidRDefault="006606DA" w:rsidP="006606DA">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6606DA" w:rsidRPr="00E6498E" w:rsidRDefault="006606DA" w:rsidP="006606DA">
            <w:pPr>
              <w:rPr>
                <w:rFonts w:ascii="ＭＳ ゴシック" w:eastAsia="ＭＳ ゴシック" w:hAnsi="ＭＳ ゴシック"/>
                <w:sz w:val="10"/>
                <w:szCs w:val="10"/>
                <w:lang w:eastAsia="ja-JP"/>
              </w:rPr>
            </w:pPr>
          </w:p>
        </w:tc>
      </w:tr>
    </w:tbl>
    <w:p w:rsidR="006606DA" w:rsidRPr="00FD3602" w:rsidRDefault="006606DA" w:rsidP="006606DA">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FD3602">
        <w:rPr>
          <w:rFonts w:ascii="ＭＳ ゴシック" w:eastAsia="ＭＳ ゴシック" w:hAnsi="ＭＳ ゴシック"/>
          <w:b/>
        </w:rPr>
        <w:t>会社名：　　　　　　　　　　　　　　　　　　　　営業所名：　　　　　　　　　　　　　　　　　　　　倉庫名：</w:t>
      </w:r>
      <w:bookmarkEnd w:id="1"/>
    </w:p>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2" w:name="bookmark28"/>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6606DA" w:rsidRPr="006606DA" w:rsidRDefault="006606DA" w:rsidP="006606DA">
      <w:pPr>
        <w:pStyle w:val="210"/>
        <w:keepNext/>
        <w:keepLines/>
        <w:shd w:val="clear" w:color="auto" w:fill="auto"/>
        <w:spacing w:after="0"/>
        <w:rPr>
          <w:rFonts w:ascii="ＭＳ ゴシック" w:eastAsia="ＭＳ ゴシック" w:hAnsi="ＭＳ ゴシック" w:hint="eastAsia"/>
          <w:sz w:val="26"/>
          <w:szCs w:val="26"/>
          <w:lang w:val="ja-JP" w:eastAsia="ja-JP" w:bidi="ja-JP"/>
        </w:rPr>
      </w:pPr>
      <w:bookmarkStart w:id="3" w:name="_GoBack"/>
      <w:bookmarkEnd w:id="3"/>
    </w:p>
    <w:p w:rsidR="002861FC" w:rsidRPr="00E6498E" w:rsidRDefault="002861FC">
      <w:pPr>
        <w:spacing w:after="695" w:line="1" w:lineRule="exact"/>
        <w:rPr>
          <w:rFonts w:ascii="ＭＳ ゴシック" w:eastAsia="ＭＳ ゴシック" w:hAnsi="ＭＳ ゴシック"/>
          <w:lang w:eastAsia="ja-JP"/>
        </w:rPr>
      </w:pPr>
    </w:p>
    <w:sectPr w:rsidR="002861FC" w:rsidRPr="00E6498E" w:rsidSect="00626F74">
      <w:pgSz w:w="11900" w:h="16840"/>
      <w:pgMar w:top="822" w:right="385" w:bottom="4443" w:left="663" w:header="394" w:footer="401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D3" w:rsidRDefault="00AB19D3">
      <w:r>
        <w:separator/>
      </w:r>
    </w:p>
  </w:endnote>
  <w:endnote w:type="continuationSeparator" w:id="0">
    <w:p w:rsidR="00AB19D3" w:rsidRDefault="00AB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D3" w:rsidRDefault="00AB19D3"/>
  </w:footnote>
  <w:footnote w:type="continuationSeparator" w:id="0">
    <w:p w:rsidR="00AB19D3" w:rsidRDefault="00AB19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217A16"/>
    <w:rsid w:val="002334F4"/>
    <w:rsid w:val="00237A08"/>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C36"/>
    <w:rsid w:val="005D6D1D"/>
    <w:rsid w:val="005E7B64"/>
    <w:rsid w:val="005F3B7E"/>
    <w:rsid w:val="00626F74"/>
    <w:rsid w:val="00636163"/>
    <w:rsid w:val="00637297"/>
    <w:rsid w:val="006404B6"/>
    <w:rsid w:val="006410D1"/>
    <w:rsid w:val="006606DA"/>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B19D3"/>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EA0D-CF81-483F-BC40-BE28B76C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122</cp:revision>
  <dcterms:created xsi:type="dcterms:W3CDTF">2020-12-21T03:08:00Z</dcterms:created>
  <dcterms:modified xsi:type="dcterms:W3CDTF">2021-01-08T02:02:00Z</dcterms:modified>
</cp:coreProperties>
</file>