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4D47" w14:textId="77777777" w:rsidR="001421FC" w:rsidRPr="00CB1A2A" w:rsidRDefault="001421FC" w:rsidP="001421FC">
      <w:pPr>
        <w:pStyle w:val="a3"/>
        <w:jc w:val="right"/>
        <w:rPr>
          <w:spacing w:val="0"/>
          <w:sz w:val="21"/>
          <w:szCs w:val="21"/>
          <w:bdr w:val="single" w:sz="4" w:space="0" w:color="auto"/>
        </w:rPr>
      </w:pPr>
      <w:r>
        <w:rPr>
          <w:rFonts w:hint="eastAsia"/>
          <w:spacing w:val="0"/>
          <w:sz w:val="21"/>
          <w:szCs w:val="21"/>
          <w:bdr w:val="single" w:sz="4" w:space="0" w:color="auto"/>
        </w:rPr>
        <w:t>別添３</w:t>
      </w:r>
    </w:p>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Pr="00167E13" w:rsidRDefault="003874DD"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66CD45D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に位置づけられ、海上運送法施行規則第７条の２の２に規定された要件に該当する者の中から安全統括管理者を選任する。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6BFD4DCD"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は、海上運送法施行規則第７条の２の３に規定する要件に該当する者の中から運航管理者を選任する。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rFonts w:hint="eastAsia"/>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398" w14:textId="77777777" w:rsidR="000B7ACA" w:rsidRDefault="000B7ACA" w:rsidP="00145913">
      <w:r>
        <w:separator/>
      </w:r>
    </w:p>
  </w:endnote>
  <w:endnote w:type="continuationSeparator" w:id="0">
    <w:p w14:paraId="4FF70E85" w14:textId="77777777"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7957" w14:textId="77777777" w:rsidR="000B7ACA" w:rsidRDefault="000B7ACA" w:rsidP="00145913">
      <w:r>
        <w:separator/>
      </w:r>
    </w:p>
  </w:footnote>
  <w:footnote w:type="continuationSeparator" w:id="0">
    <w:p w14:paraId="6511C082" w14:textId="77777777"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25939</Words>
  <Characters>2436</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