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4D47" w14:textId="3EF88B04" w:rsidR="001421FC" w:rsidRPr="00CB1A2A" w:rsidRDefault="001421FC" w:rsidP="00133681">
      <w:pPr>
        <w:pStyle w:val="a3"/>
        <w:ind w:right="213"/>
        <w:jc w:val="right"/>
        <w:rPr>
          <w:rFonts w:hint="eastAsia"/>
          <w:spacing w:val="0"/>
          <w:sz w:val="21"/>
          <w:szCs w:val="21"/>
          <w:bdr w:val="single" w:sz="4" w:space="0" w:color="auto"/>
        </w:rPr>
      </w:pPr>
    </w:p>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Pr="00167E13" w:rsidRDefault="003874DD"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66CD45D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に位置づけられ、海上運送法施行規則第７条の２の２に規定された要件に該当する者の中から安全統括管理者を選任する。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6BFD4DCD"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は、海上運送法施行規則第７条の２の３に規定する要件に該当する者の中から運航管理者を選任する。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398" w14:textId="77777777" w:rsidR="000B7ACA" w:rsidRDefault="000B7ACA" w:rsidP="00145913">
      <w:r>
        <w:separator/>
      </w:r>
    </w:p>
  </w:endnote>
  <w:endnote w:type="continuationSeparator" w:id="0">
    <w:p w14:paraId="4FF70E85" w14:textId="77777777"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7957" w14:textId="77777777" w:rsidR="000B7ACA" w:rsidRDefault="000B7ACA" w:rsidP="00145913">
      <w:r>
        <w:separator/>
      </w:r>
    </w:p>
  </w:footnote>
  <w:footnote w:type="continuationSeparator" w:id="0">
    <w:p w14:paraId="6511C082" w14:textId="77777777"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33681"/>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25936</Words>
  <Characters>2436</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