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432AC" w14:textId="08EB9D55" w:rsidR="00D61DB0" w:rsidRDefault="007C78D8" w:rsidP="001F6907">
      <w:pPr>
        <w:tabs>
          <w:tab w:val="left" w:pos="3375"/>
        </w:tabs>
      </w:pPr>
      <w:r>
        <w:rPr>
          <w:rFonts w:hint="eastAsia"/>
        </w:rPr>
        <w:t>坊勢</w:t>
      </w:r>
      <w:r w:rsidR="007D55D0">
        <w:rPr>
          <w:rFonts w:hint="eastAsia"/>
        </w:rPr>
        <w:t>航路について</w:t>
      </w:r>
    </w:p>
    <w:p w14:paraId="6A55C7A5" w14:textId="77D9030B" w:rsidR="007D55D0" w:rsidRDefault="007D55D0" w:rsidP="001F6907">
      <w:pPr>
        <w:tabs>
          <w:tab w:val="left" w:pos="3375"/>
        </w:tabs>
      </w:pPr>
    </w:p>
    <w:p w14:paraId="5B56B1BC" w14:textId="067D60CC" w:rsidR="007D55D0" w:rsidRDefault="007C78D8" w:rsidP="007D55D0">
      <w:pPr>
        <w:tabs>
          <w:tab w:val="left" w:pos="3375"/>
        </w:tabs>
      </w:pPr>
      <w:r>
        <w:rPr>
          <w:rFonts w:hint="eastAsia"/>
        </w:rPr>
        <w:t>姫路市地域公共交通会議離島航路分科会</w:t>
      </w:r>
      <w:r w:rsidR="007D55D0" w:rsidRPr="007D55D0">
        <w:rPr>
          <w:rFonts w:hint="eastAsia"/>
        </w:rPr>
        <w:t>における航路の確保維持改善に向けた事業について、以下のとおり評価した。</w:t>
      </w:r>
    </w:p>
    <w:p w14:paraId="0A194D5C" w14:textId="07B98496" w:rsidR="007D55D0" w:rsidRDefault="007D55D0" w:rsidP="007D55D0">
      <w:pPr>
        <w:tabs>
          <w:tab w:val="left" w:pos="3375"/>
        </w:tabs>
      </w:pPr>
    </w:p>
    <w:p w14:paraId="13D3048D" w14:textId="77777777" w:rsidR="007C78D8" w:rsidRPr="00A813A8" w:rsidRDefault="007C78D8" w:rsidP="006F621A">
      <w:pPr>
        <w:ind w:leftChars="47" w:left="99"/>
        <w:jc w:val="left"/>
        <w:rPr>
          <w:rFonts w:asciiTheme="minorEastAsia" w:hAnsiTheme="minorEastAsia"/>
          <w:szCs w:val="21"/>
        </w:rPr>
      </w:pPr>
      <w:r w:rsidRPr="00A813A8">
        <w:rPr>
          <w:rFonts w:asciiTheme="minorEastAsia" w:hAnsiTheme="minorEastAsia" w:hint="eastAsia"/>
          <w:szCs w:val="21"/>
        </w:rPr>
        <w:t>〇事業実施の適切性について、評価できる。</w:t>
      </w:r>
    </w:p>
    <w:p w14:paraId="21625776" w14:textId="77777777" w:rsidR="007C78D8" w:rsidRDefault="007C78D8" w:rsidP="006F621A">
      <w:pPr>
        <w:ind w:leftChars="67" w:left="351" w:hangingChars="100" w:hanging="210"/>
        <w:jc w:val="left"/>
        <w:rPr>
          <w:rFonts w:asciiTheme="minorEastAsia" w:hAnsiTheme="minorEastAsia"/>
          <w:szCs w:val="21"/>
        </w:rPr>
      </w:pPr>
      <w:r w:rsidRPr="00A813A8">
        <w:rPr>
          <w:rFonts w:asciiTheme="minorEastAsia" w:hAnsiTheme="minorEastAsia" w:hint="eastAsia"/>
          <w:szCs w:val="21"/>
        </w:rPr>
        <w:t xml:space="preserve">  </w:t>
      </w:r>
      <w:r>
        <w:rPr>
          <w:rFonts w:asciiTheme="minorEastAsia" w:hAnsiTheme="minorEastAsia" w:hint="eastAsia"/>
          <w:szCs w:val="21"/>
        </w:rPr>
        <w:t xml:space="preserve">　</w:t>
      </w:r>
      <w:r w:rsidRPr="00546668">
        <w:rPr>
          <w:rFonts w:asciiTheme="minorEastAsia" w:hAnsiTheme="minorEastAsia" w:hint="eastAsia"/>
          <w:szCs w:val="21"/>
        </w:rPr>
        <w:t>欠航は、適切な安全管理および機体の維持管理により、機械トラブル等を原因とするものは発生せず、悪天候等による安全確保を目的としたものに限られた。その結果、運航率は計画比99.1％となり、前年度と比較して欠航の発生は減少し、高い運航水準を維持した。</w:t>
      </w:r>
    </w:p>
    <w:p w14:paraId="54C21339" w14:textId="77777777" w:rsidR="007C78D8" w:rsidRPr="00A813A8" w:rsidRDefault="007C78D8" w:rsidP="007C78D8">
      <w:pPr>
        <w:ind w:leftChars="136" w:left="519" w:hangingChars="111" w:hanging="233"/>
        <w:jc w:val="left"/>
        <w:rPr>
          <w:rFonts w:asciiTheme="minorEastAsia" w:hAnsiTheme="minorEastAsia"/>
          <w:szCs w:val="21"/>
        </w:rPr>
      </w:pPr>
    </w:p>
    <w:p w14:paraId="346844E1" w14:textId="77777777" w:rsidR="007C78D8" w:rsidRPr="00A813A8" w:rsidRDefault="007C78D8" w:rsidP="006F621A">
      <w:pPr>
        <w:ind w:leftChars="47" w:left="99"/>
        <w:jc w:val="left"/>
        <w:rPr>
          <w:rFonts w:asciiTheme="minorEastAsia" w:hAnsiTheme="minorEastAsia"/>
          <w:szCs w:val="21"/>
        </w:rPr>
      </w:pPr>
      <w:r w:rsidRPr="00A813A8">
        <w:rPr>
          <w:rFonts w:asciiTheme="minorEastAsia" w:hAnsiTheme="minorEastAsia" w:hint="eastAsia"/>
          <w:szCs w:val="21"/>
        </w:rPr>
        <w:t>〇目標と効果の達成状況について、評価できる。</w:t>
      </w:r>
    </w:p>
    <w:p w14:paraId="1F27370B" w14:textId="30DC0DA3" w:rsidR="007C78D8" w:rsidRPr="00546668" w:rsidRDefault="007C78D8" w:rsidP="006F621A">
      <w:pPr>
        <w:ind w:leftChars="67" w:left="351" w:hangingChars="100" w:hanging="210"/>
        <w:jc w:val="left"/>
        <w:rPr>
          <w:rFonts w:asciiTheme="minorEastAsia" w:hAnsiTheme="minorEastAsia"/>
          <w:szCs w:val="21"/>
        </w:rPr>
      </w:pPr>
      <w:r w:rsidRPr="00A813A8">
        <w:rPr>
          <w:rFonts w:asciiTheme="minorEastAsia" w:hAnsiTheme="minorEastAsia" w:hint="eastAsia"/>
          <w:szCs w:val="21"/>
        </w:rPr>
        <w:t xml:space="preserve">　</w:t>
      </w:r>
      <w:r w:rsidR="006F621A">
        <w:rPr>
          <w:rFonts w:asciiTheme="minorEastAsia" w:hAnsiTheme="minorEastAsia" w:hint="eastAsia"/>
          <w:szCs w:val="21"/>
        </w:rPr>
        <w:t xml:space="preserve">　</w:t>
      </w:r>
      <w:r w:rsidRPr="00546668">
        <w:rPr>
          <w:rFonts w:asciiTheme="minorEastAsia" w:hAnsiTheme="minorEastAsia" w:hint="eastAsia"/>
          <w:szCs w:val="21"/>
        </w:rPr>
        <w:t>旅客輸送量について、計画とほぼ同数であり、対前年度比では約1.4％の増加となっている。</w:t>
      </w:r>
    </w:p>
    <w:p w14:paraId="3E776987" w14:textId="0503ECCD" w:rsidR="007C78D8" w:rsidRPr="00546668" w:rsidRDefault="007C78D8" w:rsidP="006F621A">
      <w:pPr>
        <w:ind w:leftChars="67" w:left="351" w:hangingChars="100" w:hanging="210"/>
        <w:jc w:val="left"/>
        <w:rPr>
          <w:rFonts w:asciiTheme="minorEastAsia" w:hAnsiTheme="minorEastAsia"/>
          <w:szCs w:val="21"/>
        </w:rPr>
      </w:pPr>
      <w:r w:rsidRPr="00546668">
        <w:rPr>
          <w:rFonts w:asciiTheme="minorEastAsia" w:hAnsiTheme="minorEastAsia" w:hint="eastAsia"/>
          <w:szCs w:val="21"/>
        </w:rPr>
        <w:t xml:space="preserve">　</w:t>
      </w:r>
      <w:r w:rsidR="006F621A">
        <w:rPr>
          <w:rFonts w:asciiTheme="minorEastAsia" w:hAnsiTheme="minorEastAsia" w:hint="eastAsia"/>
          <w:szCs w:val="21"/>
        </w:rPr>
        <w:t xml:space="preserve">　</w:t>
      </w:r>
      <w:r w:rsidRPr="00546668">
        <w:rPr>
          <w:rFonts w:asciiTheme="minorEastAsia" w:hAnsiTheme="minorEastAsia" w:hint="eastAsia"/>
          <w:szCs w:val="21"/>
        </w:rPr>
        <w:t>一方で、SNSによる運航状況配信、観光関係者と連携したパンフレット等による積極的な情報発信を行ったほか、島内工事関係者の利用需要を見据えたダイヤ変更にも取り組んだ。また、継続的に販売している企画切符の売上枚数は増加しており、交流人口の増加に寄与するものと考えられる。</w:t>
      </w:r>
    </w:p>
    <w:p w14:paraId="0618334B" w14:textId="02A02C00" w:rsidR="007C78D8" w:rsidRPr="00A813A8" w:rsidRDefault="007C78D8" w:rsidP="006F621A">
      <w:pPr>
        <w:ind w:leftChars="67" w:left="351" w:hangingChars="100" w:hanging="210"/>
        <w:jc w:val="left"/>
        <w:rPr>
          <w:rFonts w:asciiTheme="minorEastAsia" w:hAnsiTheme="minorEastAsia"/>
          <w:szCs w:val="21"/>
        </w:rPr>
      </w:pPr>
      <w:r w:rsidRPr="00546668">
        <w:rPr>
          <w:rFonts w:asciiTheme="minorEastAsia" w:hAnsiTheme="minorEastAsia" w:hint="eastAsia"/>
          <w:szCs w:val="21"/>
        </w:rPr>
        <w:t xml:space="preserve">　</w:t>
      </w:r>
      <w:r w:rsidR="006F621A">
        <w:rPr>
          <w:rFonts w:asciiTheme="minorEastAsia" w:hAnsiTheme="minorEastAsia" w:hint="eastAsia"/>
          <w:szCs w:val="21"/>
        </w:rPr>
        <w:t xml:space="preserve">　</w:t>
      </w:r>
      <w:r w:rsidRPr="00546668">
        <w:rPr>
          <w:rFonts w:asciiTheme="minorEastAsia" w:hAnsiTheme="minorEastAsia" w:hint="eastAsia"/>
          <w:szCs w:val="21"/>
        </w:rPr>
        <w:t>収支面については、燃料価格の高騰が続く厳しい状況下において、悪天候時に限って中型船を運航するなど、経費削減に努めた。また、使用船舶３隻について、リースから自己保有へ移行したことで、中長期的な視点に立った経費削減にも取り組んでいる。</w:t>
      </w:r>
    </w:p>
    <w:p w14:paraId="69747027" w14:textId="77777777" w:rsidR="007C78D8" w:rsidRPr="00A813A8" w:rsidRDefault="007C78D8" w:rsidP="007C78D8">
      <w:pPr>
        <w:ind w:leftChars="136" w:left="309" w:hangingChars="11" w:hanging="23"/>
        <w:jc w:val="left"/>
        <w:rPr>
          <w:rFonts w:asciiTheme="minorEastAsia" w:hAnsiTheme="minorEastAsia"/>
          <w:szCs w:val="21"/>
        </w:rPr>
      </w:pPr>
      <w:r w:rsidRPr="00A813A8">
        <w:rPr>
          <w:rFonts w:asciiTheme="minorEastAsia" w:hAnsiTheme="minorEastAsia" w:hint="eastAsia"/>
          <w:szCs w:val="21"/>
        </w:rPr>
        <w:t xml:space="preserve">　　　　　　　　　　　　　　　　　　　　　　　　　　　　　　　　　　　　　　　　　　　　　　　　　　　　　　　　　　　　　　　　　　　　　　　　　　　　　　　　　　　　　　　　　　　　　　　　</w:t>
      </w:r>
    </w:p>
    <w:p w14:paraId="32FF72F1" w14:textId="77777777" w:rsidR="007C78D8" w:rsidRPr="00A813A8" w:rsidRDefault="007C78D8" w:rsidP="006F621A">
      <w:pPr>
        <w:ind w:leftChars="47" w:left="99"/>
        <w:jc w:val="left"/>
        <w:rPr>
          <w:rFonts w:asciiTheme="minorEastAsia" w:hAnsiTheme="minorEastAsia"/>
          <w:szCs w:val="21"/>
        </w:rPr>
      </w:pPr>
      <w:r w:rsidRPr="00A813A8">
        <w:rPr>
          <w:rFonts w:asciiTheme="minorEastAsia" w:hAnsiTheme="minorEastAsia" w:hint="eastAsia"/>
          <w:szCs w:val="21"/>
        </w:rPr>
        <w:t>〇まとめ</w:t>
      </w:r>
    </w:p>
    <w:p w14:paraId="5E679761" w14:textId="77777777" w:rsidR="006F621A" w:rsidRDefault="007C78D8" w:rsidP="006F621A">
      <w:pPr>
        <w:ind w:leftChars="67" w:left="351" w:hangingChars="100" w:hanging="210"/>
        <w:jc w:val="left"/>
        <w:rPr>
          <w:rFonts w:asciiTheme="minorEastAsia" w:hAnsiTheme="minorEastAsia"/>
          <w:szCs w:val="21"/>
        </w:rPr>
      </w:pPr>
      <w:r w:rsidRPr="00A813A8">
        <w:rPr>
          <w:rFonts w:asciiTheme="minorEastAsia" w:hAnsiTheme="minorEastAsia" w:hint="eastAsia"/>
          <w:szCs w:val="21"/>
        </w:rPr>
        <w:t xml:space="preserve">　</w:t>
      </w:r>
      <w:r w:rsidR="006F621A">
        <w:rPr>
          <w:rFonts w:asciiTheme="minorEastAsia" w:hAnsiTheme="minorEastAsia" w:hint="eastAsia"/>
          <w:szCs w:val="21"/>
        </w:rPr>
        <w:t xml:space="preserve">　</w:t>
      </w:r>
      <w:r w:rsidRPr="00546668">
        <w:rPr>
          <w:rFonts w:asciiTheme="minorEastAsia" w:hAnsiTheme="minorEastAsia" w:hint="eastAsia"/>
          <w:szCs w:val="21"/>
        </w:rPr>
        <w:t>全体を通して、評価できる。</w:t>
      </w:r>
    </w:p>
    <w:p w14:paraId="6F5B75BB" w14:textId="05E5DD4D" w:rsidR="007C78D8" w:rsidRDefault="007C78D8" w:rsidP="006F621A">
      <w:pPr>
        <w:ind w:leftChars="167" w:left="351" w:firstLineChars="100" w:firstLine="210"/>
        <w:jc w:val="left"/>
        <w:rPr>
          <w:rFonts w:asciiTheme="minorEastAsia" w:hAnsiTheme="minorEastAsia"/>
          <w:szCs w:val="21"/>
        </w:rPr>
      </w:pPr>
      <w:r w:rsidRPr="00546668">
        <w:rPr>
          <w:rFonts w:asciiTheme="minorEastAsia" w:hAnsiTheme="minorEastAsia" w:hint="eastAsia"/>
          <w:szCs w:val="21"/>
        </w:rPr>
        <w:t>本事業は生活航路としての役割を確実に果たしつつ、利用促進の面でも少しずつ成果を上げている。</w:t>
      </w:r>
    </w:p>
    <w:p w14:paraId="22C08377" w14:textId="77777777" w:rsidR="007C78D8" w:rsidRDefault="007C78D8" w:rsidP="006F621A">
      <w:pPr>
        <w:ind w:leftChars="167" w:left="351" w:firstLineChars="100" w:firstLine="210"/>
        <w:jc w:val="left"/>
        <w:rPr>
          <w:rFonts w:asciiTheme="minorEastAsia" w:hAnsiTheme="minorEastAsia"/>
          <w:szCs w:val="21"/>
        </w:rPr>
      </w:pPr>
      <w:r w:rsidRPr="00546668">
        <w:rPr>
          <w:rFonts w:asciiTheme="minorEastAsia" w:hAnsiTheme="minorEastAsia" w:hint="eastAsia"/>
          <w:szCs w:val="21"/>
        </w:rPr>
        <w:t>一方で、今後は、一過性の工事関係需要に依存しない利用促進や、費用抑制、地域関係者と連携した交流人口の増加策による収益確保など、持続的な経営改善に向けて、事業者が主体となった取組が行われることを期待する。</w:t>
      </w:r>
    </w:p>
    <w:p w14:paraId="732030E0" w14:textId="22BF1A07" w:rsidR="007D55D0" w:rsidRPr="007C78D8" w:rsidRDefault="007D55D0" w:rsidP="007C78D8">
      <w:pPr>
        <w:ind w:leftChars="47" w:left="99"/>
      </w:pPr>
    </w:p>
    <w:sectPr w:rsidR="007D55D0" w:rsidRPr="007C78D8" w:rsidSect="001F6907">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3C54A" w14:textId="77777777" w:rsidR="007D55D0" w:rsidRDefault="007D55D0">
      <w:r>
        <w:separator/>
      </w:r>
    </w:p>
  </w:endnote>
  <w:endnote w:type="continuationSeparator" w:id="0">
    <w:p w14:paraId="014DC52B" w14:textId="77777777" w:rsidR="007D55D0" w:rsidRDefault="007D5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1C3CC" w14:textId="77777777" w:rsidR="00FB2CCE" w:rsidRDefault="00FB2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A88F1" w14:textId="77777777" w:rsidR="00FB2CCE" w:rsidRDefault="00FB2C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70ED1" w14:textId="77777777" w:rsidR="00FB2CCE" w:rsidRDefault="00FB2C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8CF92" w14:textId="77777777" w:rsidR="007D55D0" w:rsidRDefault="007D55D0">
      <w:r>
        <w:separator/>
      </w:r>
    </w:p>
  </w:footnote>
  <w:footnote w:type="continuationSeparator" w:id="0">
    <w:p w14:paraId="30B8A364" w14:textId="77777777" w:rsidR="007D55D0" w:rsidRDefault="007D5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378DD" w14:textId="77777777" w:rsidR="00FB2CCE" w:rsidRDefault="00FB2C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5BFD" w14:textId="1A006D29" w:rsidR="00D61DB0" w:rsidRDefault="003B25DA">
    <w:pPr>
      <w:pStyle w:val="Web"/>
      <w:spacing w:before="0" w:beforeAutospacing="0" w:after="0" w:afterAutospacing="0"/>
      <w:jc w:val="both"/>
    </w:pPr>
    <w:r>
      <w:rPr>
        <w:rFonts w:ascii="ＭＳ 明朝" w:eastAsia="ＭＳ 明朝" w:hAnsi="ＭＳ 明朝" w:hint="eastAsia"/>
        <w:sz w:val="21"/>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8A8" w14:textId="77777777" w:rsidR="00FB2CCE" w:rsidRDefault="00FB2C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D0"/>
    <w:rsid w:val="000D4660"/>
    <w:rsid w:val="001F6907"/>
    <w:rsid w:val="003B25DA"/>
    <w:rsid w:val="00505CEC"/>
    <w:rsid w:val="005677E2"/>
    <w:rsid w:val="006F621A"/>
    <w:rsid w:val="007877F3"/>
    <w:rsid w:val="007C78D8"/>
    <w:rsid w:val="007D55D0"/>
    <w:rsid w:val="00810A58"/>
    <w:rsid w:val="0083130D"/>
    <w:rsid w:val="008B4C07"/>
    <w:rsid w:val="00941339"/>
    <w:rsid w:val="00D61DB0"/>
    <w:rsid w:val="00E12FE8"/>
    <w:rsid w:val="00EB7F17"/>
    <w:rsid w:val="00ED15F3"/>
    <w:rsid w:val="00F45A07"/>
    <w:rsid w:val="00FB2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53FEBB"/>
  <w15:chartTrackingRefBased/>
  <w15:docId w15:val="{2997A8C0-92FE-4A32-849F-EB18DB228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119</Words>
  <Characters>684</Characters>
  <DocSecurity>0</DocSecurity>
  <Lines>5</Lines>
  <Paragraphs>1</Paragraphs>
  <ScaleCrop>false</ScaleCrop>
  <LinksUpToDate>false</LinksUpToDate>
  <CharactersWithSpaces>802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