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6CD4" w14:textId="77777777" w:rsidR="00F11029" w:rsidRDefault="00F11029" w:rsidP="00F11029">
      <w:pPr>
        <w:jc w:val="right"/>
        <w:rPr>
          <w:szCs w:val="24"/>
        </w:rPr>
      </w:pPr>
      <w:r>
        <w:rPr>
          <w:rFonts w:hint="eastAsia"/>
          <w:szCs w:val="24"/>
        </w:rPr>
        <w:t>別添１</w:t>
      </w:r>
    </w:p>
    <w:p w14:paraId="5D86BE9B" w14:textId="77777777" w:rsidR="00B51B6A" w:rsidRPr="00663681" w:rsidRDefault="00B51B6A" w:rsidP="00B51B6A">
      <w:pPr>
        <w:jc w:val="right"/>
        <w:rPr>
          <w:szCs w:val="24"/>
        </w:rPr>
      </w:pPr>
    </w:p>
    <w:p w14:paraId="154B25FD" w14:textId="77777777" w:rsidR="00B51B6A" w:rsidRPr="00CF6CBD" w:rsidRDefault="00B51B6A" w:rsidP="00B51B6A">
      <w:pPr>
        <w:jc w:val="center"/>
        <w:rPr>
          <w:rFonts w:ascii="ＭＳ 明朝" w:eastAsia="ＭＳ 明朝" w:hAnsi="Times New Roman" w:cs="Times New Roman"/>
          <w:spacing w:val="6"/>
          <w:kern w:val="0"/>
          <w:szCs w:val="24"/>
        </w:rPr>
      </w:pPr>
      <w:r w:rsidRPr="00EB3648">
        <w:rPr>
          <w:rFonts w:ascii="ＭＳ 明朝" w:eastAsia="ＭＳ 明朝" w:hAnsi="Times New Roman" w:cs="Times New Roman" w:hint="eastAsia"/>
          <w:b/>
          <w:spacing w:val="6"/>
          <w:kern w:val="0"/>
          <w:szCs w:val="24"/>
        </w:rPr>
        <w:t>補償</w:t>
      </w:r>
      <w:r w:rsidRPr="00EB3648">
        <w:rPr>
          <w:rFonts w:hint="eastAsia"/>
          <w:b/>
          <w:szCs w:val="24"/>
        </w:rPr>
        <w:t>休日の労働に関する労使協定書作成要領</w:t>
      </w:r>
    </w:p>
    <w:p w14:paraId="7EFD210A" w14:textId="77777777" w:rsidR="00B51B6A" w:rsidRDefault="00B51B6A" w:rsidP="00B51B6A">
      <w:pPr>
        <w:ind w:left="221" w:hangingChars="100" w:hanging="221"/>
        <w:rPr>
          <w:szCs w:val="24"/>
        </w:rPr>
      </w:pPr>
    </w:p>
    <w:p w14:paraId="4FE97D6F" w14:textId="77777777" w:rsidR="00BF5FA0" w:rsidRDefault="00BF5FA0" w:rsidP="00B51B6A">
      <w:pPr>
        <w:ind w:left="221" w:hangingChars="100" w:hanging="221"/>
        <w:rPr>
          <w:szCs w:val="24"/>
        </w:rPr>
      </w:pPr>
    </w:p>
    <w:p w14:paraId="4B7DEE74" w14:textId="77777777" w:rsidR="00B51B6A" w:rsidRPr="004C04A3" w:rsidRDefault="00B51B6A" w:rsidP="00B51B6A">
      <w:pPr>
        <w:ind w:left="221" w:hangingChars="100" w:hanging="221"/>
        <w:rPr>
          <w:szCs w:val="24"/>
        </w:rPr>
      </w:pPr>
      <w:r>
        <w:rPr>
          <w:rFonts w:hint="eastAsia"/>
          <w:szCs w:val="24"/>
        </w:rPr>
        <w:t>１．労使協定は、</w:t>
      </w:r>
      <w:r w:rsidRPr="00663681">
        <w:rPr>
          <w:rFonts w:hint="eastAsia"/>
          <w:szCs w:val="24"/>
        </w:rPr>
        <w:t>船舶単位で作成</w:t>
      </w:r>
      <w:r>
        <w:rPr>
          <w:rFonts w:hint="eastAsia"/>
          <w:szCs w:val="24"/>
        </w:rPr>
        <w:t>するのが基本ですが、</w:t>
      </w:r>
      <w:r w:rsidRPr="00663681">
        <w:rPr>
          <w:rFonts w:hint="eastAsia"/>
          <w:szCs w:val="24"/>
        </w:rPr>
        <w:t>複数の船舶で同じ協定内容となる</w:t>
      </w:r>
      <w:r>
        <w:rPr>
          <w:rFonts w:hint="eastAsia"/>
          <w:szCs w:val="24"/>
        </w:rPr>
        <w:t>場合は、会社単位で一つにとりまとめることもできます</w:t>
      </w:r>
      <w:r w:rsidRPr="00663681">
        <w:rPr>
          <w:rFonts w:hint="eastAsia"/>
          <w:szCs w:val="24"/>
        </w:rPr>
        <w:t>。</w:t>
      </w:r>
    </w:p>
    <w:p w14:paraId="3931BDE5" w14:textId="77777777" w:rsidR="00B51B6A" w:rsidRPr="007E0953" w:rsidRDefault="00B51B6A" w:rsidP="00B51B6A">
      <w:pPr>
        <w:ind w:left="221" w:hangingChars="100" w:hanging="221"/>
        <w:rPr>
          <w:szCs w:val="24"/>
        </w:rPr>
      </w:pPr>
    </w:p>
    <w:p w14:paraId="444EC74B" w14:textId="77777777" w:rsidR="00B51B6A" w:rsidRPr="004C04A3" w:rsidRDefault="00B51B6A" w:rsidP="00B51B6A">
      <w:pPr>
        <w:ind w:left="221" w:hangingChars="100" w:hanging="221"/>
        <w:rPr>
          <w:szCs w:val="24"/>
        </w:rPr>
      </w:pPr>
      <w:r>
        <w:rPr>
          <w:rFonts w:hint="eastAsia"/>
          <w:szCs w:val="24"/>
        </w:rPr>
        <w:t>２．補償休日の労働に関する労使協定書を作成するにあたっては、この作成要領及び別紙記載例を参考にしてください。</w:t>
      </w:r>
    </w:p>
    <w:p w14:paraId="1D405E91" w14:textId="77777777" w:rsidR="00B51B6A" w:rsidRPr="00CF6CBD" w:rsidRDefault="00B51B6A" w:rsidP="00B51B6A">
      <w:pPr>
        <w:ind w:left="221" w:hangingChars="100" w:hanging="221"/>
        <w:rPr>
          <w:szCs w:val="24"/>
        </w:rPr>
      </w:pPr>
    </w:p>
    <w:p w14:paraId="49789DBE" w14:textId="77777777" w:rsidR="00B51B6A" w:rsidRPr="00663681" w:rsidRDefault="00B51B6A" w:rsidP="00B51B6A">
      <w:pPr>
        <w:ind w:left="221" w:hangingChars="100" w:hanging="221"/>
        <w:rPr>
          <w:color w:val="808080" w:themeColor="background1" w:themeShade="80"/>
          <w:szCs w:val="24"/>
        </w:rPr>
      </w:pPr>
      <w:r>
        <w:rPr>
          <w:rFonts w:hint="eastAsia"/>
          <w:szCs w:val="24"/>
        </w:rPr>
        <w:t>３．別紙記載例の『補償休日の労働</w:t>
      </w:r>
      <w:r w:rsidRPr="00663681">
        <w:rPr>
          <w:rFonts w:hint="eastAsia"/>
          <w:szCs w:val="24"/>
        </w:rPr>
        <w:t>をさせる必要がある具体的事由</w:t>
      </w:r>
      <w:r>
        <w:rPr>
          <w:rFonts w:hint="eastAsia"/>
          <w:szCs w:val="24"/>
        </w:rPr>
        <w:t>』欄には、補償休日</w:t>
      </w:r>
      <w:r w:rsidRPr="001A0DC3">
        <w:rPr>
          <w:rFonts w:hint="eastAsia"/>
          <w:color w:val="000000" w:themeColor="text1"/>
          <w:szCs w:val="24"/>
        </w:rPr>
        <w:t>労働を行わせることの必要性について、できるだけ詳細に記載してください。</w:t>
      </w:r>
      <w:r>
        <w:rPr>
          <w:rFonts w:hint="eastAsia"/>
          <w:color w:val="000000" w:themeColor="text1"/>
          <w:szCs w:val="24"/>
        </w:rPr>
        <w:t>一時的な要因（「</w:t>
      </w:r>
      <w:r w:rsidRPr="001A0DC3">
        <w:rPr>
          <w:rFonts w:hint="eastAsia"/>
          <w:color w:val="000000" w:themeColor="text1"/>
          <w:szCs w:val="24"/>
        </w:rPr>
        <w:t>冬期の石油需要の増大による</w:t>
      </w:r>
      <w:r w:rsidR="008876A4">
        <w:rPr>
          <w:rFonts w:hint="eastAsia"/>
          <w:color w:val="000000" w:themeColor="text1"/>
          <w:szCs w:val="24"/>
        </w:rPr>
        <w:t>運航</w:t>
      </w:r>
      <w:r w:rsidRPr="001A0DC3">
        <w:rPr>
          <w:rFonts w:hint="eastAsia"/>
          <w:color w:val="000000" w:themeColor="text1"/>
          <w:szCs w:val="24"/>
        </w:rPr>
        <w:t>回数の増加</w:t>
      </w:r>
      <w:r>
        <w:rPr>
          <w:rFonts w:hint="eastAsia"/>
          <w:color w:val="000000" w:themeColor="text1"/>
          <w:szCs w:val="24"/>
        </w:rPr>
        <w:t>」等）により補償休日労働をさせる場合には、その旨記載してください。</w:t>
      </w:r>
    </w:p>
    <w:p w14:paraId="33485D4A" w14:textId="77777777" w:rsidR="00B51B6A" w:rsidRPr="00663681" w:rsidRDefault="00B51B6A" w:rsidP="00B51B6A">
      <w:pPr>
        <w:rPr>
          <w:szCs w:val="24"/>
        </w:rPr>
      </w:pPr>
      <w:r w:rsidRPr="00663681">
        <w:rPr>
          <w:rFonts w:hint="eastAsia"/>
          <w:szCs w:val="24"/>
        </w:rPr>
        <w:t xml:space="preserve">　　</w:t>
      </w:r>
    </w:p>
    <w:p w14:paraId="7A2F9C7F" w14:textId="77777777" w:rsidR="00B51B6A" w:rsidRDefault="00B51B6A" w:rsidP="00B51B6A">
      <w:pPr>
        <w:ind w:left="221" w:hangingChars="100" w:hanging="221"/>
        <w:rPr>
          <w:szCs w:val="24"/>
        </w:rPr>
      </w:pPr>
      <w:r>
        <w:rPr>
          <w:rFonts w:hint="eastAsia"/>
          <w:szCs w:val="24"/>
        </w:rPr>
        <w:t>４</w:t>
      </w:r>
      <w:r w:rsidRPr="00663681">
        <w:rPr>
          <w:rFonts w:hint="eastAsia"/>
          <w:szCs w:val="24"/>
        </w:rPr>
        <w:t>．</w:t>
      </w:r>
      <w:r>
        <w:rPr>
          <w:rFonts w:hint="eastAsia"/>
          <w:szCs w:val="24"/>
        </w:rPr>
        <w:t>別紙記載例の『</w:t>
      </w:r>
      <w:r w:rsidRPr="00663681">
        <w:rPr>
          <w:rFonts w:hint="eastAsia"/>
          <w:szCs w:val="24"/>
        </w:rPr>
        <w:t>対象となる船員の職務及び員数</w:t>
      </w:r>
      <w:r>
        <w:rPr>
          <w:rFonts w:hint="eastAsia"/>
          <w:szCs w:val="24"/>
        </w:rPr>
        <w:t>』欄には、対象となる船員の具体的な職務及び員数並びに対象となる船舶の概要（船名、船種及びトン数）を記載してください。</w:t>
      </w:r>
    </w:p>
    <w:p w14:paraId="0F93B252" w14:textId="77777777" w:rsidR="00B51B6A" w:rsidRDefault="00B51B6A" w:rsidP="00B51B6A">
      <w:pPr>
        <w:ind w:leftChars="100" w:left="221" w:firstLineChars="100" w:firstLine="221"/>
        <w:rPr>
          <w:szCs w:val="24"/>
        </w:rPr>
      </w:pPr>
      <w:r>
        <w:rPr>
          <w:rFonts w:hint="eastAsia"/>
          <w:szCs w:val="24"/>
        </w:rPr>
        <w:t>労使協定書の船員数は船舶の乗組み定員を記載してください。（なお、届出書の「１</w:t>
      </w:r>
      <w:r>
        <w:rPr>
          <w:rFonts w:hint="eastAsia"/>
          <w:szCs w:val="24"/>
        </w:rPr>
        <w:t xml:space="preserve"> </w:t>
      </w:r>
      <w:r>
        <w:rPr>
          <w:rFonts w:hint="eastAsia"/>
          <w:szCs w:val="24"/>
        </w:rPr>
        <w:t>使用する船員数」欄及び「２</w:t>
      </w:r>
      <w:r>
        <w:rPr>
          <w:rFonts w:hint="eastAsia"/>
          <w:szCs w:val="24"/>
        </w:rPr>
        <w:t xml:space="preserve"> </w:t>
      </w:r>
      <w:r>
        <w:rPr>
          <w:rFonts w:hint="eastAsia"/>
          <w:szCs w:val="24"/>
        </w:rPr>
        <w:t>労働組合加入者数等」欄については、予備船員を含めた船員数を記載してください。）</w:t>
      </w:r>
    </w:p>
    <w:p w14:paraId="302CA2C5" w14:textId="77777777" w:rsidR="00B51B6A" w:rsidRDefault="00B51B6A" w:rsidP="00B51B6A">
      <w:pPr>
        <w:ind w:left="221" w:hangingChars="100" w:hanging="221"/>
        <w:rPr>
          <w:szCs w:val="24"/>
        </w:rPr>
      </w:pPr>
      <w:r>
        <w:rPr>
          <w:rFonts w:hint="eastAsia"/>
          <w:szCs w:val="24"/>
        </w:rPr>
        <w:t xml:space="preserve">　　対象船舶が多い場合は、別添としても構いません。</w:t>
      </w:r>
    </w:p>
    <w:p w14:paraId="3B6D3523" w14:textId="77777777" w:rsidR="00B51B6A" w:rsidRDefault="00B51B6A" w:rsidP="00B51B6A">
      <w:pPr>
        <w:ind w:leftChars="100" w:left="221" w:firstLineChars="100" w:firstLine="221"/>
        <w:rPr>
          <w:color w:val="808080" w:themeColor="background1" w:themeShade="80"/>
          <w:szCs w:val="24"/>
        </w:rPr>
      </w:pPr>
      <w:r>
        <w:rPr>
          <w:rFonts w:hint="eastAsia"/>
          <w:szCs w:val="24"/>
        </w:rPr>
        <w:t>また、「別添の就業規則の定員表の定めるところによる」と記載し、就業規則の定員表の写しを添付しても構いません。</w:t>
      </w:r>
    </w:p>
    <w:p w14:paraId="679C43D3" w14:textId="77777777" w:rsidR="00B51B6A" w:rsidRPr="007E0953" w:rsidRDefault="00B51B6A" w:rsidP="00B51B6A">
      <w:pPr>
        <w:ind w:firstLineChars="200" w:firstLine="442"/>
        <w:rPr>
          <w:color w:val="808080" w:themeColor="background1" w:themeShade="80"/>
          <w:szCs w:val="24"/>
        </w:rPr>
      </w:pPr>
    </w:p>
    <w:p w14:paraId="70E2D3C2" w14:textId="77777777" w:rsidR="00B51B6A" w:rsidRPr="00867E25" w:rsidRDefault="00B51B6A" w:rsidP="00B51B6A">
      <w:pPr>
        <w:ind w:left="221" w:hangingChars="100" w:hanging="221"/>
        <w:rPr>
          <w:color w:val="000000" w:themeColor="text1"/>
          <w:szCs w:val="24"/>
        </w:rPr>
      </w:pPr>
      <w:r>
        <w:rPr>
          <w:rFonts w:hint="eastAsia"/>
          <w:szCs w:val="24"/>
        </w:rPr>
        <w:t>５</w:t>
      </w:r>
      <w:r w:rsidRPr="00663681">
        <w:rPr>
          <w:rFonts w:hint="eastAsia"/>
          <w:szCs w:val="24"/>
        </w:rPr>
        <w:t>．</w:t>
      </w:r>
      <w:r>
        <w:rPr>
          <w:rFonts w:hint="eastAsia"/>
          <w:szCs w:val="24"/>
        </w:rPr>
        <w:t>別紙記載例の『</w:t>
      </w:r>
      <w:r w:rsidRPr="00663681">
        <w:rPr>
          <w:rFonts w:hint="eastAsia"/>
          <w:szCs w:val="24"/>
        </w:rPr>
        <w:t>作業の種類</w:t>
      </w:r>
      <w:r>
        <w:rPr>
          <w:rFonts w:hint="eastAsia"/>
          <w:szCs w:val="24"/>
        </w:rPr>
        <w:t>』欄には、</w:t>
      </w:r>
      <w:r w:rsidRPr="00867E25">
        <w:rPr>
          <w:rFonts w:hint="eastAsia"/>
          <w:color w:val="000000" w:themeColor="text1"/>
          <w:szCs w:val="24"/>
        </w:rPr>
        <w:t>航海当直作</w:t>
      </w:r>
      <w:r>
        <w:rPr>
          <w:rFonts w:hint="eastAsia"/>
          <w:color w:val="000000" w:themeColor="text1"/>
          <w:szCs w:val="24"/>
        </w:rPr>
        <w:t>業、入出港作業、荷役作業、保守整備作業、事務作業等の作業をできるだけ具体的に記載してください。</w:t>
      </w:r>
    </w:p>
    <w:p w14:paraId="48E2BF13" w14:textId="77777777" w:rsidR="00B51B6A" w:rsidRPr="00CF6CBD" w:rsidRDefault="00B51B6A" w:rsidP="00B51B6A">
      <w:pPr>
        <w:rPr>
          <w:color w:val="000000" w:themeColor="text1"/>
          <w:szCs w:val="24"/>
        </w:rPr>
      </w:pPr>
    </w:p>
    <w:p w14:paraId="3DC910A6" w14:textId="77777777" w:rsidR="00B51B6A" w:rsidRDefault="00B51B6A" w:rsidP="00B51B6A">
      <w:pPr>
        <w:ind w:left="221" w:hangingChars="100" w:hanging="221"/>
        <w:rPr>
          <w:color w:val="000000" w:themeColor="text1"/>
          <w:szCs w:val="24"/>
        </w:rPr>
      </w:pPr>
      <w:r>
        <w:rPr>
          <w:rFonts w:hint="eastAsia"/>
          <w:color w:val="000000" w:themeColor="text1"/>
          <w:szCs w:val="24"/>
        </w:rPr>
        <w:t>６</w:t>
      </w:r>
      <w:r w:rsidRPr="00867E25">
        <w:rPr>
          <w:rFonts w:hint="eastAsia"/>
          <w:color w:val="000000" w:themeColor="text1"/>
          <w:szCs w:val="24"/>
        </w:rPr>
        <w:t>．</w:t>
      </w:r>
      <w:r>
        <w:rPr>
          <w:rFonts w:hint="eastAsia"/>
          <w:szCs w:val="24"/>
        </w:rPr>
        <w:t>別紙記載例の</w:t>
      </w:r>
      <w:r>
        <w:rPr>
          <w:rFonts w:hint="eastAsia"/>
          <w:color w:val="000000" w:themeColor="text1"/>
          <w:szCs w:val="24"/>
        </w:rPr>
        <w:t>『</w:t>
      </w:r>
      <w:r w:rsidRPr="00867E25">
        <w:rPr>
          <w:rFonts w:hint="eastAsia"/>
          <w:color w:val="000000" w:themeColor="text1"/>
          <w:szCs w:val="24"/>
        </w:rPr>
        <w:t>労働</w:t>
      </w:r>
      <w:r>
        <w:rPr>
          <w:rFonts w:hint="eastAsia"/>
          <w:color w:val="000000" w:themeColor="text1"/>
          <w:szCs w:val="24"/>
        </w:rPr>
        <w:t>をさせることができる補償休日の日数の限度』には、補償休日労働を行わせることが予想される日数を記載してください。</w:t>
      </w:r>
    </w:p>
    <w:p w14:paraId="6590747D" w14:textId="77777777" w:rsidR="00B51B6A" w:rsidRDefault="00B51B6A" w:rsidP="00B51B6A">
      <w:pPr>
        <w:ind w:leftChars="100" w:left="221" w:firstLineChars="100" w:firstLine="221"/>
        <w:rPr>
          <w:szCs w:val="24"/>
        </w:rPr>
      </w:pPr>
      <w:r>
        <w:rPr>
          <w:rFonts w:hint="eastAsia"/>
          <w:color w:val="000000" w:themeColor="text1"/>
          <w:szCs w:val="24"/>
        </w:rPr>
        <w:t>なお</w:t>
      </w:r>
      <w:r w:rsidRPr="00107021">
        <w:rPr>
          <w:rFonts w:hint="eastAsia"/>
          <w:szCs w:val="24"/>
        </w:rPr>
        <w:t>、</w:t>
      </w:r>
      <w:r>
        <w:rPr>
          <w:rFonts w:hint="eastAsia"/>
          <w:szCs w:val="24"/>
        </w:rPr>
        <w:t>当該日数は、</w:t>
      </w:r>
      <w:r w:rsidRPr="00107021">
        <w:rPr>
          <w:rFonts w:hint="eastAsia"/>
          <w:szCs w:val="24"/>
        </w:rPr>
        <w:t>基準労働</w:t>
      </w:r>
      <w:r>
        <w:rPr>
          <w:rFonts w:hint="eastAsia"/>
          <w:szCs w:val="24"/>
        </w:rPr>
        <w:t>期間</w:t>
      </w:r>
      <w:r w:rsidRPr="00107021">
        <w:rPr>
          <w:rFonts w:hint="eastAsia"/>
          <w:szCs w:val="24"/>
        </w:rPr>
        <w:t>について、１週間において１日与えられる休日であって補償休日以外のものの日数及び補償休日の日数を合計した３分の１を超えてはいけません。</w:t>
      </w:r>
    </w:p>
    <w:p w14:paraId="71D1C47C" w14:textId="77777777" w:rsidR="00B51B6A" w:rsidRPr="00DF7423" w:rsidRDefault="00B51B6A" w:rsidP="00B51B6A">
      <w:pPr>
        <w:ind w:leftChars="100" w:left="221" w:firstLineChars="100" w:firstLine="221"/>
        <w:rPr>
          <w:color w:val="000000" w:themeColor="text1"/>
          <w:szCs w:val="24"/>
        </w:rPr>
      </w:pPr>
    </w:p>
    <w:p w14:paraId="176BCA87" w14:textId="77777777" w:rsidR="00B51B6A" w:rsidRDefault="00B51B6A" w:rsidP="00B51B6A">
      <w:pPr>
        <w:ind w:left="221" w:hangingChars="100" w:hanging="221"/>
        <w:rPr>
          <w:szCs w:val="24"/>
        </w:rPr>
      </w:pPr>
      <w:r>
        <w:rPr>
          <w:rFonts w:hint="eastAsia"/>
          <w:color w:val="000000" w:themeColor="text1"/>
          <w:szCs w:val="24"/>
        </w:rPr>
        <w:t>７．</w:t>
      </w:r>
      <w:r>
        <w:rPr>
          <w:rFonts w:hint="eastAsia"/>
          <w:szCs w:val="24"/>
        </w:rPr>
        <w:t>別紙記載例の</w:t>
      </w:r>
      <w:r>
        <w:rPr>
          <w:rFonts w:hint="eastAsia"/>
          <w:color w:val="000000" w:themeColor="text1"/>
          <w:szCs w:val="24"/>
        </w:rPr>
        <w:t>『</w:t>
      </w:r>
      <w:r w:rsidRPr="00867E25">
        <w:rPr>
          <w:rFonts w:hint="eastAsia"/>
          <w:color w:val="000000" w:themeColor="text1"/>
          <w:szCs w:val="24"/>
        </w:rPr>
        <w:t>４の期間及び時間数を遵守させるための措置</w:t>
      </w:r>
      <w:r>
        <w:rPr>
          <w:rFonts w:hint="eastAsia"/>
          <w:color w:val="000000" w:themeColor="text1"/>
          <w:szCs w:val="24"/>
        </w:rPr>
        <w:t>』欄には、４．</w:t>
      </w:r>
      <w:r>
        <w:rPr>
          <w:rFonts w:hint="eastAsia"/>
          <w:szCs w:val="24"/>
        </w:rPr>
        <w:t>の限度を担保するためのできるだけ</w:t>
      </w:r>
      <w:r w:rsidRPr="00741C2A">
        <w:rPr>
          <w:rFonts w:hint="eastAsia"/>
          <w:szCs w:val="24"/>
        </w:rPr>
        <w:t>実効性のある措置</w:t>
      </w:r>
      <w:r>
        <w:rPr>
          <w:rFonts w:hint="eastAsia"/>
          <w:szCs w:val="24"/>
        </w:rPr>
        <w:t>を記入してください</w:t>
      </w:r>
      <w:r w:rsidRPr="00741C2A">
        <w:rPr>
          <w:rFonts w:hint="eastAsia"/>
          <w:szCs w:val="24"/>
        </w:rPr>
        <w:t>。</w:t>
      </w:r>
    </w:p>
    <w:p w14:paraId="1D454BBA" w14:textId="77777777" w:rsidR="00B51B6A" w:rsidRDefault="00B51B6A" w:rsidP="00B51B6A">
      <w:pPr>
        <w:ind w:leftChars="100" w:left="221" w:firstLineChars="100" w:firstLine="221"/>
        <w:rPr>
          <w:color w:val="000000" w:themeColor="text1"/>
          <w:szCs w:val="24"/>
        </w:rPr>
      </w:pPr>
    </w:p>
    <w:p w14:paraId="0676D845" w14:textId="77777777" w:rsidR="00B51B6A" w:rsidRDefault="00B51B6A" w:rsidP="00B51B6A">
      <w:pPr>
        <w:rPr>
          <w:color w:val="000000" w:themeColor="text1"/>
          <w:szCs w:val="24"/>
        </w:rPr>
      </w:pPr>
      <w:r>
        <w:rPr>
          <w:rFonts w:hint="eastAsia"/>
          <w:color w:val="000000" w:themeColor="text1"/>
          <w:szCs w:val="24"/>
        </w:rPr>
        <w:t>８．</w:t>
      </w:r>
      <w:r>
        <w:rPr>
          <w:rFonts w:hint="eastAsia"/>
          <w:szCs w:val="24"/>
        </w:rPr>
        <w:t>別紙記載例の</w:t>
      </w:r>
      <w:r>
        <w:rPr>
          <w:rFonts w:hint="eastAsia"/>
          <w:color w:val="000000" w:themeColor="text1"/>
          <w:szCs w:val="24"/>
        </w:rPr>
        <w:t>『協定書の有効期限』は、最長で３年以内としてください。</w:t>
      </w:r>
      <w:r>
        <w:rPr>
          <w:color w:val="000000" w:themeColor="text1"/>
          <w:szCs w:val="24"/>
        </w:rPr>
        <w:br w:type="page"/>
      </w:r>
    </w:p>
    <w:p w14:paraId="18537D4D" w14:textId="77777777" w:rsidR="00B51B6A" w:rsidRPr="00663681" w:rsidRDefault="00B51B6A" w:rsidP="00B51B6A">
      <w:pPr>
        <w:widowControl/>
        <w:jc w:val="right"/>
        <w:rPr>
          <w:rFonts w:ascii="ＭＳ 明朝" w:eastAsia="ＭＳ 明朝" w:hAnsi="Times New Roman" w:cs="Times New Roman"/>
          <w:spacing w:val="6"/>
          <w:kern w:val="0"/>
          <w:szCs w:val="24"/>
        </w:rPr>
      </w:pPr>
      <w:r>
        <w:rPr>
          <w:rFonts w:ascii="ＭＳ 明朝" w:eastAsia="ＭＳ 明朝" w:hAnsi="Times New Roman" w:cs="Times New Roman" w:hint="eastAsia"/>
          <w:spacing w:val="6"/>
          <w:kern w:val="0"/>
          <w:szCs w:val="24"/>
        </w:rPr>
        <w:lastRenderedPageBreak/>
        <w:t>別紙</w:t>
      </w:r>
    </w:p>
    <w:p w14:paraId="55FAA938" w14:textId="77777777" w:rsidR="00B51B6A" w:rsidRPr="00663681" w:rsidRDefault="00B51B6A" w:rsidP="00B51B6A">
      <w:pPr>
        <w:widowControl/>
        <w:jc w:val="left"/>
        <w:rPr>
          <w:rFonts w:ascii="ＭＳ 明朝" w:eastAsia="ＭＳ 明朝" w:hAnsi="Times New Roman" w:cs="Times New Roman"/>
          <w:spacing w:val="6"/>
          <w:kern w:val="0"/>
          <w:szCs w:val="24"/>
        </w:rPr>
      </w:pPr>
      <w:r w:rsidRPr="00663681">
        <w:rPr>
          <w:rFonts w:ascii="ＭＳ 明朝" w:eastAsia="ＭＳ 明朝" w:hAnsi="Times New Roman" w:cs="Times New Roman" w:hint="eastAsia"/>
          <w:spacing w:val="6"/>
          <w:kern w:val="0"/>
          <w:szCs w:val="24"/>
        </w:rPr>
        <w:t>（記載例）</w:t>
      </w:r>
    </w:p>
    <w:tbl>
      <w:tblPr>
        <w:tblW w:w="897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B51B6A" w:rsidRPr="00663681" w14:paraId="16857A33" w14:textId="77777777" w:rsidTr="00944590">
        <w:trPr>
          <w:trHeight w:val="562"/>
        </w:trPr>
        <w:tc>
          <w:tcPr>
            <w:tcW w:w="8970" w:type="dxa"/>
            <w:tcBorders>
              <w:bottom w:val="single" w:sz="4" w:space="0" w:color="auto"/>
            </w:tcBorders>
          </w:tcPr>
          <w:p w14:paraId="0C3AB6AB" w14:textId="77777777" w:rsidR="00B51B6A" w:rsidRPr="00663681" w:rsidRDefault="00B51B6A" w:rsidP="00944590">
            <w:pPr>
              <w:jc w:val="center"/>
              <w:rPr>
                <w:szCs w:val="24"/>
              </w:rPr>
            </w:pPr>
          </w:p>
          <w:p w14:paraId="437E721F" w14:textId="77777777" w:rsidR="00B51B6A" w:rsidRPr="00EB3648" w:rsidRDefault="00B51B6A" w:rsidP="00944590">
            <w:pPr>
              <w:jc w:val="center"/>
              <w:rPr>
                <w:b/>
                <w:sz w:val="28"/>
                <w:szCs w:val="28"/>
              </w:rPr>
            </w:pPr>
            <w:r w:rsidRPr="00EB3648">
              <w:rPr>
                <w:rFonts w:hint="eastAsia"/>
                <w:b/>
                <w:sz w:val="28"/>
                <w:szCs w:val="28"/>
              </w:rPr>
              <w:t>補償休日の労働に関する労使協定書</w:t>
            </w:r>
          </w:p>
          <w:p w14:paraId="64ECEB59" w14:textId="77777777" w:rsidR="00B51B6A" w:rsidRPr="00663681" w:rsidRDefault="00B51B6A" w:rsidP="00944590">
            <w:pPr>
              <w:rPr>
                <w:szCs w:val="24"/>
              </w:rPr>
            </w:pPr>
          </w:p>
          <w:p w14:paraId="700D983C" w14:textId="77777777" w:rsidR="00B51B6A" w:rsidRPr="00663681" w:rsidRDefault="00B51B6A" w:rsidP="00B51B6A">
            <w:pPr>
              <w:ind w:leftChars="100" w:left="2212" w:hangingChars="900" w:hanging="1991"/>
              <w:rPr>
                <w:szCs w:val="24"/>
              </w:rPr>
            </w:pPr>
            <w:r w:rsidRPr="00663681">
              <w:rPr>
                <w:rFonts w:hint="eastAsia"/>
                <w:szCs w:val="24"/>
              </w:rPr>
              <w:t>使用者：</w:t>
            </w:r>
            <w:r w:rsidRPr="00663681">
              <w:rPr>
                <w:rFonts w:hint="eastAsia"/>
                <w:szCs w:val="24"/>
                <w:u w:val="single"/>
              </w:rPr>
              <w:t xml:space="preserve">　　　　　　　　　　　　　　</w:t>
            </w:r>
            <w:r w:rsidRPr="00663681">
              <w:rPr>
                <w:rFonts w:hint="eastAsia"/>
                <w:szCs w:val="24"/>
              </w:rPr>
              <w:t>と船員代表者：</w:t>
            </w:r>
            <w:r w:rsidRPr="00663681">
              <w:rPr>
                <w:rFonts w:hint="eastAsia"/>
                <w:szCs w:val="24"/>
                <w:u w:val="single"/>
              </w:rPr>
              <w:t xml:space="preserve">　　　　　　　　　　　　　</w:t>
            </w:r>
            <w:r w:rsidRPr="00663681">
              <w:rPr>
                <w:rFonts w:hint="eastAsia"/>
                <w:szCs w:val="24"/>
              </w:rPr>
              <w:t>は、</w:t>
            </w:r>
          </w:p>
          <w:p w14:paraId="54962D02" w14:textId="77777777" w:rsidR="00B51B6A" w:rsidRPr="00663681" w:rsidRDefault="00B51B6A" w:rsidP="00944590">
            <w:pPr>
              <w:ind w:firstLineChars="100" w:firstLine="221"/>
              <w:rPr>
                <w:szCs w:val="24"/>
              </w:rPr>
            </w:pPr>
            <w:r w:rsidRPr="00663681">
              <w:rPr>
                <w:rFonts w:hint="eastAsia"/>
                <w:szCs w:val="24"/>
              </w:rPr>
              <w:t>船員法第６５条に規定する補償休日の労働に関し、次のとおり協定する。</w:t>
            </w:r>
          </w:p>
          <w:p w14:paraId="20497F45" w14:textId="77777777" w:rsidR="00B51B6A" w:rsidRPr="00663681" w:rsidRDefault="00B51B6A" w:rsidP="00944590">
            <w:pPr>
              <w:rPr>
                <w:szCs w:val="24"/>
              </w:rPr>
            </w:pPr>
          </w:p>
          <w:p w14:paraId="3EA42FDE" w14:textId="77777777" w:rsidR="00B51B6A" w:rsidRPr="00EB3648" w:rsidRDefault="00B51B6A" w:rsidP="00944590">
            <w:pPr>
              <w:rPr>
                <w:b/>
                <w:szCs w:val="24"/>
              </w:rPr>
            </w:pPr>
            <w:r w:rsidRPr="00EB3648">
              <w:rPr>
                <w:rFonts w:hint="eastAsia"/>
                <w:b/>
                <w:szCs w:val="24"/>
              </w:rPr>
              <w:t>１．補償休日の労働をさせる必要がある具体的事由</w:t>
            </w:r>
          </w:p>
          <w:p w14:paraId="3BCD1B29" w14:textId="77777777" w:rsidR="00B51B6A" w:rsidRPr="005C7DC2" w:rsidRDefault="00B51B6A" w:rsidP="00944590">
            <w:pPr>
              <w:rPr>
                <w:color w:val="0070C0"/>
                <w:szCs w:val="24"/>
              </w:rPr>
            </w:pPr>
            <w:r w:rsidRPr="00663681">
              <w:rPr>
                <w:rFonts w:hint="eastAsia"/>
                <w:szCs w:val="24"/>
              </w:rPr>
              <w:t xml:space="preserve">　　</w:t>
            </w:r>
            <w:r w:rsidRPr="005C7DC2">
              <w:rPr>
                <w:rFonts w:hint="eastAsia"/>
                <w:color w:val="0070C0"/>
                <w:szCs w:val="24"/>
              </w:rPr>
              <w:t>・荒天による運航スケジュールの遅れ</w:t>
            </w:r>
          </w:p>
          <w:p w14:paraId="4697C09F" w14:textId="77777777" w:rsidR="00B51B6A" w:rsidRPr="005C7DC2" w:rsidRDefault="00B51B6A" w:rsidP="00944590">
            <w:pPr>
              <w:rPr>
                <w:color w:val="0070C0"/>
                <w:szCs w:val="24"/>
              </w:rPr>
            </w:pPr>
            <w:r w:rsidRPr="005C7DC2">
              <w:rPr>
                <w:rFonts w:hint="eastAsia"/>
                <w:color w:val="0070C0"/>
                <w:szCs w:val="24"/>
              </w:rPr>
              <w:t xml:space="preserve">　　・運航スケジュールの変更</w:t>
            </w:r>
          </w:p>
          <w:p w14:paraId="46C56D9A" w14:textId="77777777" w:rsidR="00B51B6A" w:rsidRPr="005C7DC2" w:rsidRDefault="00B51B6A" w:rsidP="00944590">
            <w:pPr>
              <w:rPr>
                <w:color w:val="0070C0"/>
                <w:szCs w:val="24"/>
              </w:rPr>
            </w:pPr>
            <w:r w:rsidRPr="005C7DC2">
              <w:rPr>
                <w:rFonts w:hint="eastAsia"/>
                <w:color w:val="0070C0"/>
                <w:szCs w:val="24"/>
              </w:rPr>
              <w:t xml:space="preserve">　　</w:t>
            </w:r>
          </w:p>
          <w:p w14:paraId="1F0A7E9F" w14:textId="77777777" w:rsidR="00B51B6A" w:rsidRPr="00EB3648" w:rsidRDefault="00B51B6A" w:rsidP="00944590">
            <w:pPr>
              <w:rPr>
                <w:b/>
                <w:szCs w:val="24"/>
              </w:rPr>
            </w:pPr>
            <w:r w:rsidRPr="00EB3648">
              <w:rPr>
                <w:rFonts w:hint="eastAsia"/>
                <w:b/>
                <w:szCs w:val="24"/>
              </w:rPr>
              <w:t>２．対象となる船員の職務及び員数</w:t>
            </w:r>
          </w:p>
          <w:p w14:paraId="70A84CC9" w14:textId="77777777" w:rsidR="00B51B6A" w:rsidRPr="005C7DC2" w:rsidRDefault="00B51B6A" w:rsidP="00944590">
            <w:pPr>
              <w:ind w:firstLineChars="200" w:firstLine="442"/>
              <w:rPr>
                <w:color w:val="0070C0"/>
                <w:szCs w:val="24"/>
              </w:rPr>
            </w:pPr>
            <w:r w:rsidRPr="005C7DC2">
              <w:rPr>
                <w:rFonts w:hint="eastAsia"/>
                <w:color w:val="0070C0"/>
                <w:szCs w:val="24"/>
              </w:rPr>
              <w:t>国土丸（一般貨物船、総トン数</w:t>
            </w:r>
            <w:r>
              <w:rPr>
                <w:rFonts w:hint="eastAsia"/>
                <w:color w:val="0070C0"/>
                <w:szCs w:val="24"/>
              </w:rPr>
              <w:t>699</w:t>
            </w:r>
            <w:r w:rsidRPr="005C7DC2">
              <w:rPr>
                <w:rFonts w:hint="eastAsia"/>
                <w:color w:val="0070C0"/>
                <w:szCs w:val="24"/>
              </w:rPr>
              <w:t>G/T</w:t>
            </w:r>
            <w:r w:rsidRPr="005C7DC2">
              <w:rPr>
                <w:rFonts w:hint="eastAsia"/>
                <w:color w:val="0070C0"/>
                <w:szCs w:val="24"/>
              </w:rPr>
              <w:t>）</w:t>
            </w:r>
          </w:p>
          <w:p w14:paraId="0396AF9D" w14:textId="77777777" w:rsidR="00B51B6A" w:rsidRDefault="00B51B6A" w:rsidP="00944590">
            <w:pPr>
              <w:ind w:firstLineChars="200" w:firstLine="442"/>
              <w:rPr>
                <w:color w:val="0070C0"/>
                <w:szCs w:val="24"/>
              </w:rPr>
            </w:pPr>
            <w:r w:rsidRPr="005C7DC2">
              <w:rPr>
                <w:rFonts w:hint="eastAsia"/>
                <w:color w:val="0070C0"/>
                <w:szCs w:val="24"/>
              </w:rPr>
              <w:t>・船長１名</w:t>
            </w:r>
          </w:p>
          <w:p w14:paraId="46DBBF6D" w14:textId="77777777" w:rsidR="00B51B6A" w:rsidRDefault="00B51B6A" w:rsidP="00944590">
            <w:pPr>
              <w:ind w:firstLineChars="200" w:firstLine="442"/>
              <w:rPr>
                <w:color w:val="0070C0"/>
                <w:szCs w:val="24"/>
              </w:rPr>
            </w:pPr>
            <w:r>
              <w:rPr>
                <w:rFonts w:hint="eastAsia"/>
                <w:color w:val="0070C0"/>
                <w:szCs w:val="24"/>
              </w:rPr>
              <w:t>・</w:t>
            </w:r>
            <w:r w:rsidRPr="005C7DC2">
              <w:rPr>
                <w:rFonts w:hint="eastAsia"/>
                <w:color w:val="0070C0"/>
                <w:szCs w:val="24"/>
              </w:rPr>
              <w:t>機関長１名</w:t>
            </w:r>
          </w:p>
          <w:p w14:paraId="774B8492" w14:textId="77777777" w:rsidR="00002B99" w:rsidRDefault="00002B99" w:rsidP="00002B99">
            <w:pPr>
              <w:ind w:firstLineChars="200" w:firstLine="442"/>
              <w:rPr>
                <w:color w:val="0070C0"/>
                <w:szCs w:val="24"/>
              </w:rPr>
            </w:pPr>
            <w:r>
              <w:rPr>
                <w:rFonts w:hint="eastAsia"/>
                <w:color w:val="0070C0"/>
                <w:szCs w:val="24"/>
              </w:rPr>
              <w:t>・甲板部職員３名、甲板部部員２名</w:t>
            </w:r>
          </w:p>
          <w:p w14:paraId="2729DC49" w14:textId="77777777" w:rsidR="00002B99" w:rsidRDefault="00002B99" w:rsidP="00002B99">
            <w:pPr>
              <w:ind w:firstLineChars="200" w:firstLine="442"/>
              <w:rPr>
                <w:color w:val="0070C0"/>
                <w:szCs w:val="24"/>
              </w:rPr>
            </w:pPr>
            <w:r>
              <w:rPr>
                <w:rFonts w:hint="eastAsia"/>
                <w:color w:val="0070C0"/>
                <w:szCs w:val="24"/>
              </w:rPr>
              <w:t>・機関部職員１名、機関部部員１名</w:t>
            </w:r>
          </w:p>
          <w:p w14:paraId="0BF4B11E" w14:textId="77777777" w:rsidR="00B51B6A" w:rsidRPr="00002B99" w:rsidRDefault="00B51B6A" w:rsidP="00944590">
            <w:pPr>
              <w:rPr>
                <w:szCs w:val="24"/>
              </w:rPr>
            </w:pPr>
          </w:p>
          <w:p w14:paraId="453B8226" w14:textId="77777777" w:rsidR="00B51B6A" w:rsidRPr="00EB3648" w:rsidRDefault="00B51B6A" w:rsidP="00944590">
            <w:pPr>
              <w:rPr>
                <w:b/>
                <w:szCs w:val="24"/>
              </w:rPr>
            </w:pPr>
            <w:r w:rsidRPr="00EB3648">
              <w:rPr>
                <w:rFonts w:hint="eastAsia"/>
                <w:b/>
                <w:szCs w:val="24"/>
              </w:rPr>
              <w:t>３．作業の種類</w:t>
            </w:r>
          </w:p>
          <w:p w14:paraId="16FCB2C4" w14:textId="77777777" w:rsidR="00B51B6A" w:rsidRDefault="00B51B6A" w:rsidP="00944590">
            <w:pPr>
              <w:ind w:left="442" w:hangingChars="200" w:hanging="442"/>
              <w:rPr>
                <w:color w:val="0070C0"/>
                <w:szCs w:val="24"/>
              </w:rPr>
            </w:pPr>
            <w:r w:rsidRPr="005C7DC2">
              <w:rPr>
                <w:rFonts w:hint="eastAsia"/>
                <w:color w:val="0070C0"/>
                <w:szCs w:val="24"/>
              </w:rPr>
              <w:t xml:space="preserve">　　・航海当直作業、</w:t>
            </w:r>
            <w:r w:rsidR="00525EC9">
              <w:rPr>
                <w:rFonts w:hint="eastAsia"/>
                <w:color w:val="0070C0"/>
                <w:szCs w:val="24"/>
              </w:rPr>
              <w:t>航海当直の交代作業、</w:t>
            </w:r>
            <w:r w:rsidRPr="005C7DC2">
              <w:rPr>
                <w:rFonts w:hint="eastAsia"/>
                <w:color w:val="0070C0"/>
                <w:szCs w:val="24"/>
              </w:rPr>
              <w:t>入出港作業、荷役作業、保守整備作業、事務作業等通常の運航作業</w:t>
            </w:r>
          </w:p>
          <w:p w14:paraId="7762BD33" w14:textId="77777777" w:rsidR="00525EC9" w:rsidRPr="00525EC9" w:rsidRDefault="00525EC9" w:rsidP="00944590">
            <w:pPr>
              <w:ind w:left="442" w:hangingChars="200" w:hanging="442"/>
              <w:rPr>
                <w:color w:val="0070C0"/>
                <w:szCs w:val="24"/>
              </w:rPr>
            </w:pPr>
            <w:r>
              <w:rPr>
                <w:rFonts w:hint="eastAsia"/>
                <w:color w:val="0070C0"/>
                <w:szCs w:val="24"/>
              </w:rPr>
              <w:t xml:space="preserve">　　・防火操練、救命艇操練その他これらに類似する作業</w:t>
            </w:r>
          </w:p>
          <w:p w14:paraId="22014FFB" w14:textId="77777777" w:rsidR="00B51B6A" w:rsidRPr="005C7DC2" w:rsidRDefault="00B51B6A" w:rsidP="00944590">
            <w:pPr>
              <w:rPr>
                <w:color w:val="0070C0"/>
                <w:szCs w:val="24"/>
              </w:rPr>
            </w:pPr>
            <w:r w:rsidRPr="005C7DC2">
              <w:rPr>
                <w:rFonts w:hint="eastAsia"/>
                <w:color w:val="0070C0"/>
                <w:szCs w:val="24"/>
              </w:rPr>
              <w:t xml:space="preserve">　　・船長にあっては、上記の他船舶の運航管理及び船員の労務管理に関する業務</w:t>
            </w:r>
          </w:p>
          <w:p w14:paraId="27660CCD" w14:textId="77777777" w:rsidR="00B51B6A" w:rsidRPr="00663681" w:rsidRDefault="00B51B6A" w:rsidP="00944590">
            <w:pPr>
              <w:rPr>
                <w:szCs w:val="24"/>
              </w:rPr>
            </w:pPr>
          </w:p>
          <w:p w14:paraId="1105EC4B" w14:textId="77777777" w:rsidR="00B51B6A" w:rsidRDefault="00B51B6A" w:rsidP="00944590">
            <w:pPr>
              <w:rPr>
                <w:b/>
                <w:szCs w:val="24"/>
              </w:rPr>
            </w:pPr>
            <w:r w:rsidRPr="00EB3648">
              <w:rPr>
                <w:rFonts w:hint="eastAsia"/>
                <w:b/>
                <w:szCs w:val="24"/>
              </w:rPr>
              <w:t>４．労働をさせることができる補償休日の日数の限度</w:t>
            </w:r>
          </w:p>
          <w:p w14:paraId="2B46A83A" w14:textId="77777777" w:rsidR="00B51B6A" w:rsidRPr="00DB5E3D" w:rsidRDefault="00B51B6A" w:rsidP="00944590">
            <w:pPr>
              <w:ind w:left="444" w:hangingChars="200" w:hanging="444"/>
              <w:rPr>
                <w:color w:val="0070C0"/>
                <w:szCs w:val="24"/>
              </w:rPr>
            </w:pPr>
            <w:r>
              <w:rPr>
                <w:rFonts w:hint="eastAsia"/>
                <w:b/>
                <w:szCs w:val="24"/>
              </w:rPr>
              <w:t xml:space="preserve">　　</w:t>
            </w:r>
            <w:r w:rsidRPr="00DB5E3D">
              <w:rPr>
                <w:rFonts w:hint="eastAsia"/>
                <w:color w:val="0070C0"/>
                <w:szCs w:val="24"/>
              </w:rPr>
              <w:t>・基準労働</w:t>
            </w:r>
            <w:r>
              <w:rPr>
                <w:rFonts w:hint="eastAsia"/>
                <w:color w:val="0070C0"/>
                <w:szCs w:val="24"/>
              </w:rPr>
              <w:t>期間内について、１週間において１日与えられる休日であって補償休日以外のものの日数及び補償休日の日数を</w:t>
            </w:r>
            <w:r w:rsidRPr="00DB5E3D">
              <w:rPr>
                <w:rFonts w:hint="eastAsia"/>
                <w:color w:val="0070C0"/>
                <w:szCs w:val="24"/>
              </w:rPr>
              <w:t>合計</w:t>
            </w:r>
            <w:r>
              <w:rPr>
                <w:rFonts w:hint="eastAsia"/>
                <w:color w:val="0070C0"/>
                <w:szCs w:val="24"/>
              </w:rPr>
              <w:t>した</w:t>
            </w:r>
            <w:r w:rsidRPr="00DB5E3D">
              <w:rPr>
                <w:rFonts w:hint="eastAsia"/>
                <w:color w:val="0070C0"/>
                <w:szCs w:val="24"/>
              </w:rPr>
              <w:t>３分の１を限度とする。</w:t>
            </w:r>
          </w:p>
          <w:p w14:paraId="50B08EA3" w14:textId="77777777" w:rsidR="00B51B6A" w:rsidRPr="00107021" w:rsidRDefault="00B51B6A" w:rsidP="00944590">
            <w:pPr>
              <w:rPr>
                <w:szCs w:val="24"/>
              </w:rPr>
            </w:pPr>
          </w:p>
          <w:p w14:paraId="205CEDB1" w14:textId="77777777" w:rsidR="00B51B6A" w:rsidRPr="00EB3648" w:rsidRDefault="00B51B6A" w:rsidP="00944590">
            <w:pPr>
              <w:rPr>
                <w:b/>
                <w:szCs w:val="24"/>
              </w:rPr>
            </w:pPr>
            <w:r w:rsidRPr="00EB3648">
              <w:rPr>
                <w:rFonts w:hint="eastAsia"/>
                <w:b/>
                <w:szCs w:val="24"/>
              </w:rPr>
              <w:t>５．４の期間及び時間数を遵守するための措置</w:t>
            </w:r>
          </w:p>
          <w:p w14:paraId="2817570D" w14:textId="77777777" w:rsidR="00B51B6A" w:rsidRPr="00DB5E3D" w:rsidRDefault="00B51B6A" w:rsidP="00944590">
            <w:pPr>
              <w:rPr>
                <w:color w:val="0070C0"/>
                <w:szCs w:val="24"/>
              </w:rPr>
            </w:pPr>
            <w:r w:rsidRPr="00DB5E3D">
              <w:rPr>
                <w:rFonts w:hint="eastAsia"/>
                <w:color w:val="0070C0"/>
                <w:szCs w:val="24"/>
              </w:rPr>
              <w:t xml:space="preserve">　　・必要な予備船員を確保する。</w:t>
            </w:r>
          </w:p>
          <w:p w14:paraId="22734698" w14:textId="77777777" w:rsidR="00B51B6A" w:rsidRPr="00DB5E3D" w:rsidRDefault="00B51B6A" w:rsidP="005F54D6">
            <w:pPr>
              <w:ind w:left="664" w:hangingChars="300" w:hanging="664"/>
              <w:rPr>
                <w:color w:val="0070C0"/>
                <w:szCs w:val="24"/>
              </w:rPr>
            </w:pPr>
            <w:r w:rsidRPr="00DB5E3D">
              <w:rPr>
                <w:rFonts w:hint="eastAsia"/>
                <w:color w:val="0070C0"/>
                <w:szCs w:val="24"/>
              </w:rPr>
              <w:t xml:space="preserve">　　・</w:t>
            </w:r>
            <w:r w:rsidR="005F54D6">
              <w:rPr>
                <w:rFonts w:hint="eastAsia"/>
                <w:color w:val="0070C0"/>
                <w:szCs w:val="24"/>
              </w:rPr>
              <w:t>労務管理責任者に</w:t>
            </w:r>
            <w:r w:rsidR="005B4311">
              <w:rPr>
                <w:rFonts w:hint="eastAsia"/>
                <w:color w:val="0070C0"/>
              </w:rPr>
              <w:t>毎日の労働時間の状況を把握させることにより、</w:t>
            </w:r>
            <w:r w:rsidRPr="00DB5E3D">
              <w:rPr>
                <w:rFonts w:hint="eastAsia"/>
                <w:color w:val="0070C0"/>
                <w:szCs w:val="24"/>
              </w:rPr>
              <w:t>労働時間を適切に管理させる。</w:t>
            </w:r>
          </w:p>
          <w:p w14:paraId="3B6809E3" w14:textId="77777777" w:rsidR="00B51B6A" w:rsidRPr="00663681" w:rsidRDefault="00B51B6A" w:rsidP="00944590">
            <w:pPr>
              <w:rPr>
                <w:szCs w:val="24"/>
              </w:rPr>
            </w:pPr>
          </w:p>
          <w:p w14:paraId="21502D0C" w14:textId="77777777" w:rsidR="00B51B6A" w:rsidRPr="00EB3648" w:rsidRDefault="00B51B6A" w:rsidP="00944590">
            <w:pPr>
              <w:rPr>
                <w:b/>
                <w:szCs w:val="24"/>
              </w:rPr>
            </w:pPr>
            <w:r w:rsidRPr="00EB3648">
              <w:rPr>
                <w:rFonts w:hint="eastAsia"/>
                <w:b/>
                <w:szCs w:val="24"/>
              </w:rPr>
              <w:t>６．協定書の有効期限</w:t>
            </w:r>
          </w:p>
          <w:p w14:paraId="1BDCE833" w14:textId="77777777" w:rsidR="00B51B6A" w:rsidRPr="00DB5E3D" w:rsidRDefault="00B51B6A" w:rsidP="00944590">
            <w:pPr>
              <w:rPr>
                <w:color w:val="0070C0"/>
                <w:szCs w:val="24"/>
              </w:rPr>
            </w:pPr>
            <w:r w:rsidRPr="00DB5E3D">
              <w:rPr>
                <w:rFonts w:hint="eastAsia"/>
                <w:color w:val="0070C0"/>
                <w:szCs w:val="24"/>
              </w:rPr>
              <w:t xml:space="preserve">　　・成立の日から３年とする。</w:t>
            </w:r>
          </w:p>
          <w:p w14:paraId="04C4A0E8" w14:textId="77777777" w:rsidR="00B51B6A" w:rsidRPr="00663681" w:rsidRDefault="00B51B6A" w:rsidP="00944590">
            <w:pPr>
              <w:rPr>
                <w:szCs w:val="24"/>
              </w:rPr>
            </w:pPr>
          </w:p>
          <w:p w14:paraId="065D967D" w14:textId="77777777" w:rsidR="00B51B6A" w:rsidRPr="00663681" w:rsidRDefault="00B51B6A" w:rsidP="00944590">
            <w:pPr>
              <w:rPr>
                <w:szCs w:val="24"/>
              </w:rPr>
            </w:pPr>
            <w:r w:rsidRPr="00663681">
              <w:rPr>
                <w:rFonts w:hint="eastAsia"/>
                <w:szCs w:val="24"/>
              </w:rPr>
              <w:t xml:space="preserve">協定の成立年月日　　　　</w:t>
            </w:r>
            <w:r w:rsidR="0054763B">
              <w:rPr>
                <w:rFonts w:hint="eastAsia"/>
                <w:szCs w:val="24"/>
              </w:rPr>
              <w:t xml:space="preserve">　　</w:t>
            </w:r>
            <w:r w:rsidRPr="00663681">
              <w:rPr>
                <w:rFonts w:hint="eastAsia"/>
                <w:szCs w:val="24"/>
              </w:rPr>
              <w:t xml:space="preserve">　　年　　月　　日</w:t>
            </w:r>
          </w:p>
          <w:p w14:paraId="4F62E159" w14:textId="77777777" w:rsidR="00B51B6A" w:rsidRPr="00663681" w:rsidRDefault="00B51B6A" w:rsidP="00944590">
            <w:pPr>
              <w:rPr>
                <w:szCs w:val="24"/>
              </w:rPr>
            </w:pPr>
          </w:p>
          <w:p w14:paraId="1F6BE60E" w14:textId="77777777" w:rsidR="00B51B6A" w:rsidRPr="00663681" w:rsidRDefault="00B51B6A" w:rsidP="00944590">
            <w:pPr>
              <w:rPr>
                <w:szCs w:val="24"/>
              </w:rPr>
            </w:pPr>
            <w:r w:rsidRPr="00663681">
              <w:rPr>
                <w:rFonts w:hint="eastAsia"/>
                <w:szCs w:val="24"/>
              </w:rPr>
              <w:t xml:space="preserve">　　　　　　　　　　　　　　　　使　用</w:t>
            </w:r>
            <w:r w:rsidRPr="00663681">
              <w:rPr>
                <w:rFonts w:hint="eastAsia"/>
                <w:szCs w:val="24"/>
              </w:rPr>
              <w:t xml:space="preserve"> </w:t>
            </w:r>
            <w:r w:rsidRPr="00663681">
              <w:rPr>
                <w:rFonts w:hint="eastAsia"/>
                <w:szCs w:val="24"/>
              </w:rPr>
              <w:t>者　：</w:t>
            </w:r>
            <w:r w:rsidRPr="00663681">
              <w:rPr>
                <w:rFonts w:hint="eastAsia"/>
                <w:szCs w:val="24"/>
                <w:u w:val="single"/>
              </w:rPr>
              <w:t xml:space="preserve">　　　　　　　　　　　　　　　　　　　　　　　　　　　</w:t>
            </w:r>
          </w:p>
          <w:p w14:paraId="09656EF2" w14:textId="77777777" w:rsidR="00B51B6A" w:rsidRPr="00663681" w:rsidRDefault="00B51B6A" w:rsidP="00944590">
            <w:pPr>
              <w:rPr>
                <w:szCs w:val="24"/>
              </w:rPr>
            </w:pPr>
          </w:p>
          <w:p w14:paraId="135DF4D0" w14:textId="77777777" w:rsidR="00B51B6A" w:rsidRPr="00663681" w:rsidRDefault="00B51B6A" w:rsidP="00944590">
            <w:pPr>
              <w:rPr>
                <w:szCs w:val="24"/>
                <w:u w:val="single"/>
              </w:rPr>
            </w:pPr>
            <w:r w:rsidRPr="00663681">
              <w:rPr>
                <w:rFonts w:hint="eastAsia"/>
                <w:szCs w:val="24"/>
              </w:rPr>
              <w:t xml:space="preserve">　　　　　　　　　　　　　　　　船員代表者</w:t>
            </w:r>
            <w:r w:rsidRPr="00663681">
              <w:rPr>
                <w:rFonts w:hint="eastAsia"/>
                <w:szCs w:val="24"/>
              </w:rPr>
              <w:t xml:space="preserve"> </w:t>
            </w:r>
            <w:r w:rsidRPr="00663681">
              <w:rPr>
                <w:rFonts w:hint="eastAsia"/>
                <w:szCs w:val="24"/>
              </w:rPr>
              <w:t>：</w:t>
            </w:r>
            <w:r w:rsidRPr="00663681">
              <w:rPr>
                <w:rFonts w:hint="eastAsia"/>
                <w:szCs w:val="24"/>
                <w:u w:val="single"/>
              </w:rPr>
              <w:t xml:space="preserve">　　　　　　　　　　　　　　　　　　　　　　　　　　</w:t>
            </w:r>
          </w:p>
        </w:tc>
      </w:tr>
    </w:tbl>
    <w:p w14:paraId="19ADB791" w14:textId="06A37A25" w:rsidR="00B51B6A" w:rsidRDefault="00B51B6A" w:rsidP="00B51B6A">
      <w:pPr>
        <w:widowControl/>
        <w:jc w:val="left"/>
        <w:rPr>
          <w:rFonts w:ascii="ＭＳ 明朝" w:eastAsia="ＭＳ 明朝" w:hAnsi="Times New Roman" w:cs="Times New Roman"/>
          <w:spacing w:val="6"/>
          <w:kern w:val="0"/>
          <w:szCs w:val="24"/>
        </w:rPr>
      </w:pPr>
    </w:p>
    <w:sectPr w:rsidR="00B51B6A" w:rsidSect="004A5707">
      <w:pgSz w:w="11906" w:h="16838" w:code="9"/>
      <w:pgMar w:top="1134" w:right="1418" w:bottom="1021" w:left="1531"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2461" w14:textId="77777777" w:rsidR="006E66DB" w:rsidRDefault="006E66DB" w:rsidP="00C5449B">
      <w:r>
        <w:separator/>
      </w:r>
    </w:p>
  </w:endnote>
  <w:endnote w:type="continuationSeparator" w:id="0">
    <w:p w14:paraId="3925704C" w14:textId="77777777" w:rsidR="006E66DB" w:rsidRDefault="006E66DB" w:rsidP="00C5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22E7" w14:textId="77777777" w:rsidR="006E66DB" w:rsidRDefault="006E66DB" w:rsidP="00C5449B">
      <w:r>
        <w:separator/>
      </w:r>
    </w:p>
  </w:footnote>
  <w:footnote w:type="continuationSeparator" w:id="0">
    <w:p w14:paraId="0345BB5F" w14:textId="77777777" w:rsidR="006E66DB" w:rsidRDefault="006E66DB" w:rsidP="00C5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64BA"/>
    <w:multiLevelType w:val="hybridMultilevel"/>
    <w:tmpl w:val="79CCECDE"/>
    <w:lvl w:ilvl="0" w:tplc="4266A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511ED"/>
    <w:multiLevelType w:val="hybridMultilevel"/>
    <w:tmpl w:val="15E08FF0"/>
    <w:lvl w:ilvl="0" w:tplc="DEF0483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45FBC"/>
    <w:multiLevelType w:val="hybridMultilevel"/>
    <w:tmpl w:val="FA1226BC"/>
    <w:lvl w:ilvl="0" w:tplc="E2DE1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938EE"/>
    <w:multiLevelType w:val="hybridMultilevel"/>
    <w:tmpl w:val="EB64FF68"/>
    <w:lvl w:ilvl="0" w:tplc="672EE118">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4" w15:restartNumberingAfterBreak="0">
    <w:nsid w:val="15B44830"/>
    <w:multiLevelType w:val="hybridMultilevel"/>
    <w:tmpl w:val="D2EC57E4"/>
    <w:lvl w:ilvl="0" w:tplc="4FEC9D94">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5" w15:restartNumberingAfterBreak="0">
    <w:nsid w:val="190A3E3D"/>
    <w:multiLevelType w:val="hybridMultilevel"/>
    <w:tmpl w:val="5EBCD45C"/>
    <w:lvl w:ilvl="0" w:tplc="C97A0C26">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6" w15:restartNumberingAfterBreak="0">
    <w:nsid w:val="1E392DBA"/>
    <w:multiLevelType w:val="hybridMultilevel"/>
    <w:tmpl w:val="892CF220"/>
    <w:lvl w:ilvl="0" w:tplc="C71611DC">
      <w:start w:val="2"/>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7" w15:restartNumberingAfterBreak="0">
    <w:nsid w:val="1F3447AC"/>
    <w:multiLevelType w:val="hybridMultilevel"/>
    <w:tmpl w:val="D5247E86"/>
    <w:lvl w:ilvl="0" w:tplc="56208E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F62E1A"/>
    <w:multiLevelType w:val="hybridMultilevel"/>
    <w:tmpl w:val="8626FBD2"/>
    <w:lvl w:ilvl="0" w:tplc="5BC65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AD0B81"/>
    <w:multiLevelType w:val="hybridMultilevel"/>
    <w:tmpl w:val="6DE08910"/>
    <w:lvl w:ilvl="0" w:tplc="8C7E65C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B20FC"/>
    <w:multiLevelType w:val="hybridMultilevel"/>
    <w:tmpl w:val="5B5E9614"/>
    <w:lvl w:ilvl="0" w:tplc="FC607F12">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11" w15:restartNumberingAfterBreak="0">
    <w:nsid w:val="4365410C"/>
    <w:multiLevelType w:val="hybridMultilevel"/>
    <w:tmpl w:val="D414A556"/>
    <w:lvl w:ilvl="0" w:tplc="72524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C174C"/>
    <w:multiLevelType w:val="hybridMultilevel"/>
    <w:tmpl w:val="8BDE6476"/>
    <w:lvl w:ilvl="0" w:tplc="7C1A51B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6D7F5F"/>
    <w:multiLevelType w:val="hybridMultilevel"/>
    <w:tmpl w:val="A050C566"/>
    <w:lvl w:ilvl="0" w:tplc="D116F9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621DB"/>
    <w:multiLevelType w:val="hybridMultilevel"/>
    <w:tmpl w:val="8C6A1EF8"/>
    <w:lvl w:ilvl="0" w:tplc="B9CE90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730956"/>
    <w:multiLevelType w:val="hybridMultilevel"/>
    <w:tmpl w:val="06368758"/>
    <w:lvl w:ilvl="0" w:tplc="A4969E7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931B9"/>
    <w:multiLevelType w:val="hybridMultilevel"/>
    <w:tmpl w:val="8F9A87FC"/>
    <w:lvl w:ilvl="0" w:tplc="25F8194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6"/>
  </w:num>
  <w:num w:numId="2">
    <w:abstractNumId w:val="13"/>
  </w:num>
  <w:num w:numId="3">
    <w:abstractNumId w:val="5"/>
  </w:num>
  <w:num w:numId="4">
    <w:abstractNumId w:val="10"/>
  </w:num>
  <w:num w:numId="5">
    <w:abstractNumId w:val="1"/>
  </w:num>
  <w:num w:numId="6">
    <w:abstractNumId w:val="12"/>
  </w:num>
  <w:num w:numId="7">
    <w:abstractNumId w:val="14"/>
  </w:num>
  <w:num w:numId="8">
    <w:abstractNumId w:val="9"/>
  </w:num>
  <w:num w:numId="9">
    <w:abstractNumId w:val="7"/>
  </w:num>
  <w:num w:numId="10">
    <w:abstractNumId w:val="15"/>
  </w:num>
  <w:num w:numId="11">
    <w:abstractNumId w:val="4"/>
  </w:num>
  <w:num w:numId="12">
    <w:abstractNumId w:val="6"/>
  </w:num>
  <w:num w:numId="13">
    <w:abstractNumId w:val="3"/>
  </w:num>
  <w:num w:numId="14">
    <w:abstractNumId w:val="11"/>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45A9"/>
    <w:rsid w:val="00002B99"/>
    <w:rsid w:val="00005616"/>
    <w:rsid w:val="00016DFC"/>
    <w:rsid w:val="000372CF"/>
    <w:rsid w:val="00052CE9"/>
    <w:rsid w:val="00056A01"/>
    <w:rsid w:val="000A2BC0"/>
    <w:rsid w:val="000D0360"/>
    <w:rsid w:val="00107021"/>
    <w:rsid w:val="00107F01"/>
    <w:rsid w:val="00111B6B"/>
    <w:rsid w:val="00116D60"/>
    <w:rsid w:val="00162D9A"/>
    <w:rsid w:val="00175BFD"/>
    <w:rsid w:val="00190DE1"/>
    <w:rsid w:val="00194B7B"/>
    <w:rsid w:val="00197159"/>
    <w:rsid w:val="001A23F7"/>
    <w:rsid w:val="001D17C9"/>
    <w:rsid w:val="001E18D8"/>
    <w:rsid w:val="001E7585"/>
    <w:rsid w:val="0020077E"/>
    <w:rsid w:val="002030A7"/>
    <w:rsid w:val="00203D49"/>
    <w:rsid w:val="00223B87"/>
    <w:rsid w:val="00225F49"/>
    <w:rsid w:val="00262C8F"/>
    <w:rsid w:val="00271031"/>
    <w:rsid w:val="002805B8"/>
    <w:rsid w:val="002A6911"/>
    <w:rsid w:val="002B4F35"/>
    <w:rsid w:val="002E7A9E"/>
    <w:rsid w:val="0030296F"/>
    <w:rsid w:val="003356A4"/>
    <w:rsid w:val="00363A3A"/>
    <w:rsid w:val="00386B65"/>
    <w:rsid w:val="0038767F"/>
    <w:rsid w:val="00391F91"/>
    <w:rsid w:val="003C3CB4"/>
    <w:rsid w:val="003C5238"/>
    <w:rsid w:val="003D2A11"/>
    <w:rsid w:val="003F040C"/>
    <w:rsid w:val="003F2834"/>
    <w:rsid w:val="0040417B"/>
    <w:rsid w:val="00416547"/>
    <w:rsid w:val="0043446C"/>
    <w:rsid w:val="00447066"/>
    <w:rsid w:val="004561DF"/>
    <w:rsid w:val="004636D4"/>
    <w:rsid w:val="00474C58"/>
    <w:rsid w:val="00486283"/>
    <w:rsid w:val="00494D03"/>
    <w:rsid w:val="004A5707"/>
    <w:rsid w:val="004C2A51"/>
    <w:rsid w:val="004C6AD9"/>
    <w:rsid w:val="004D49E8"/>
    <w:rsid w:val="005006DE"/>
    <w:rsid w:val="005032B8"/>
    <w:rsid w:val="005105EF"/>
    <w:rsid w:val="00516C6D"/>
    <w:rsid w:val="00525EC9"/>
    <w:rsid w:val="005375C2"/>
    <w:rsid w:val="0054763B"/>
    <w:rsid w:val="005630A8"/>
    <w:rsid w:val="0057682B"/>
    <w:rsid w:val="00591044"/>
    <w:rsid w:val="005962BB"/>
    <w:rsid w:val="005A1CBF"/>
    <w:rsid w:val="005B219C"/>
    <w:rsid w:val="005B4311"/>
    <w:rsid w:val="005B4A19"/>
    <w:rsid w:val="005C1A40"/>
    <w:rsid w:val="005C7DC2"/>
    <w:rsid w:val="005F54D6"/>
    <w:rsid w:val="00604904"/>
    <w:rsid w:val="0061150C"/>
    <w:rsid w:val="00632B00"/>
    <w:rsid w:val="00643F1D"/>
    <w:rsid w:val="006536AF"/>
    <w:rsid w:val="00655B4F"/>
    <w:rsid w:val="00656411"/>
    <w:rsid w:val="00663681"/>
    <w:rsid w:val="00685B5C"/>
    <w:rsid w:val="006C4FD9"/>
    <w:rsid w:val="006D1880"/>
    <w:rsid w:val="006D1BD1"/>
    <w:rsid w:val="006E149B"/>
    <w:rsid w:val="006E238E"/>
    <w:rsid w:val="006E66DB"/>
    <w:rsid w:val="006F066E"/>
    <w:rsid w:val="006F79C7"/>
    <w:rsid w:val="00720029"/>
    <w:rsid w:val="00741C2A"/>
    <w:rsid w:val="00743ECE"/>
    <w:rsid w:val="00763C8D"/>
    <w:rsid w:val="007703D1"/>
    <w:rsid w:val="007867EC"/>
    <w:rsid w:val="00786AF3"/>
    <w:rsid w:val="00793EAA"/>
    <w:rsid w:val="00797FA3"/>
    <w:rsid w:val="007B0EF9"/>
    <w:rsid w:val="007E0B7A"/>
    <w:rsid w:val="007E427C"/>
    <w:rsid w:val="0080331A"/>
    <w:rsid w:val="00804A93"/>
    <w:rsid w:val="00810049"/>
    <w:rsid w:val="00836454"/>
    <w:rsid w:val="00883868"/>
    <w:rsid w:val="008876A4"/>
    <w:rsid w:val="008A2275"/>
    <w:rsid w:val="008A38F2"/>
    <w:rsid w:val="008A6715"/>
    <w:rsid w:val="008C0577"/>
    <w:rsid w:val="008C1DC2"/>
    <w:rsid w:val="00904F2E"/>
    <w:rsid w:val="00923754"/>
    <w:rsid w:val="00933699"/>
    <w:rsid w:val="0095474A"/>
    <w:rsid w:val="00987596"/>
    <w:rsid w:val="009C2480"/>
    <w:rsid w:val="009C2CFC"/>
    <w:rsid w:val="009E773E"/>
    <w:rsid w:val="00A12397"/>
    <w:rsid w:val="00A258B6"/>
    <w:rsid w:val="00A25EE1"/>
    <w:rsid w:val="00A27226"/>
    <w:rsid w:val="00A72F0C"/>
    <w:rsid w:val="00A76250"/>
    <w:rsid w:val="00A80704"/>
    <w:rsid w:val="00AA17C3"/>
    <w:rsid w:val="00AA2729"/>
    <w:rsid w:val="00AB03FF"/>
    <w:rsid w:val="00AB45CC"/>
    <w:rsid w:val="00AC6AAC"/>
    <w:rsid w:val="00AE3DA7"/>
    <w:rsid w:val="00AF3248"/>
    <w:rsid w:val="00B02C88"/>
    <w:rsid w:val="00B074C0"/>
    <w:rsid w:val="00B10A1E"/>
    <w:rsid w:val="00B10E0C"/>
    <w:rsid w:val="00B364CD"/>
    <w:rsid w:val="00B5131D"/>
    <w:rsid w:val="00B51B6A"/>
    <w:rsid w:val="00B52960"/>
    <w:rsid w:val="00B63E73"/>
    <w:rsid w:val="00B70E63"/>
    <w:rsid w:val="00B73906"/>
    <w:rsid w:val="00B76380"/>
    <w:rsid w:val="00B905E9"/>
    <w:rsid w:val="00BA265C"/>
    <w:rsid w:val="00BA45A9"/>
    <w:rsid w:val="00BA4B95"/>
    <w:rsid w:val="00BA628C"/>
    <w:rsid w:val="00BB4662"/>
    <w:rsid w:val="00BC4924"/>
    <w:rsid w:val="00BE1C05"/>
    <w:rsid w:val="00BF5FA0"/>
    <w:rsid w:val="00C14F63"/>
    <w:rsid w:val="00C21E5D"/>
    <w:rsid w:val="00C36789"/>
    <w:rsid w:val="00C44250"/>
    <w:rsid w:val="00C44BA4"/>
    <w:rsid w:val="00C5449B"/>
    <w:rsid w:val="00C72249"/>
    <w:rsid w:val="00C95290"/>
    <w:rsid w:val="00CB5445"/>
    <w:rsid w:val="00CD1549"/>
    <w:rsid w:val="00CE36FB"/>
    <w:rsid w:val="00D06862"/>
    <w:rsid w:val="00D2465B"/>
    <w:rsid w:val="00D40485"/>
    <w:rsid w:val="00D40528"/>
    <w:rsid w:val="00D40DFD"/>
    <w:rsid w:val="00D51CEB"/>
    <w:rsid w:val="00D652A5"/>
    <w:rsid w:val="00D92052"/>
    <w:rsid w:val="00D96417"/>
    <w:rsid w:val="00D97C6B"/>
    <w:rsid w:val="00DB5E3D"/>
    <w:rsid w:val="00DC3958"/>
    <w:rsid w:val="00DC4946"/>
    <w:rsid w:val="00DE7141"/>
    <w:rsid w:val="00DF7423"/>
    <w:rsid w:val="00E01497"/>
    <w:rsid w:val="00E24941"/>
    <w:rsid w:val="00E24F9F"/>
    <w:rsid w:val="00E347C9"/>
    <w:rsid w:val="00E43922"/>
    <w:rsid w:val="00E525E8"/>
    <w:rsid w:val="00E818E7"/>
    <w:rsid w:val="00E97820"/>
    <w:rsid w:val="00EA3B77"/>
    <w:rsid w:val="00EA46D8"/>
    <w:rsid w:val="00EA4895"/>
    <w:rsid w:val="00EA4CC0"/>
    <w:rsid w:val="00EA635B"/>
    <w:rsid w:val="00EA7278"/>
    <w:rsid w:val="00EB3648"/>
    <w:rsid w:val="00EB751F"/>
    <w:rsid w:val="00EF0087"/>
    <w:rsid w:val="00F01377"/>
    <w:rsid w:val="00F07963"/>
    <w:rsid w:val="00F11029"/>
    <w:rsid w:val="00F2133B"/>
    <w:rsid w:val="00F46146"/>
    <w:rsid w:val="00F72382"/>
    <w:rsid w:val="00F73513"/>
    <w:rsid w:val="00F74758"/>
    <w:rsid w:val="00F81205"/>
    <w:rsid w:val="00F906FC"/>
    <w:rsid w:val="00FA0F06"/>
    <w:rsid w:val="00FC522C"/>
    <w:rsid w:val="00FD4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DD903C"/>
  <w15:docId w15:val="{8A6DC545-48DC-4B4D-A1D0-C480242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5A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5A9"/>
    <w:pPr>
      <w:ind w:leftChars="400" w:left="840"/>
    </w:pPr>
  </w:style>
  <w:style w:type="paragraph" w:styleId="a4">
    <w:name w:val="header"/>
    <w:basedOn w:val="a"/>
    <w:link w:val="a5"/>
    <w:uiPriority w:val="99"/>
    <w:unhideWhenUsed/>
    <w:rsid w:val="00C5449B"/>
    <w:pPr>
      <w:tabs>
        <w:tab w:val="center" w:pos="4252"/>
        <w:tab w:val="right" w:pos="8504"/>
      </w:tabs>
      <w:snapToGrid w:val="0"/>
    </w:pPr>
  </w:style>
  <w:style w:type="character" w:customStyle="1" w:styleId="a5">
    <w:name w:val="ヘッダー (文字)"/>
    <w:basedOn w:val="a0"/>
    <w:link w:val="a4"/>
    <w:uiPriority w:val="99"/>
    <w:rsid w:val="00C5449B"/>
    <w:rPr>
      <w:sz w:val="24"/>
    </w:rPr>
  </w:style>
  <w:style w:type="paragraph" w:styleId="a6">
    <w:name w:val="footer"/>
    <w:basedOn w:val="a"/>
    <w:link w:val="a7"/>
    <w:uiPriority w:val="99"/>
    <w:unhideWhenUsed/>
    <w:rsid w:val="00C5449B"/>
    <w:pPr>
      <w:tabs>
        <w:tab w:val="center" w:pos="4252"/>
        <w:tab w:val="right" w:pos="8504"/>
      </w:tabs>
      <w:snapToGrid w:val="0"/>
    </w:pPr>
  </w:style>
  <w:style w:type="character" w:customStyle="1" w:styleId="a7">
    <w:name w:val="フッター (文字)"/>
    <w:basedOn w:val="a0"/>
    <w:link w:val="a6"/>
    <w:uiPriority w:val="99"/>
    <w:rsid w:val="00C5449B"/>
    <w:rPr>
      <w:sz w:val="24"/>
    </w:rPr>
  </w:style>
  <w:style w:type="paragraph" w:styleId="a8">
    <w:name w:val="Date"/>
    <w:basedOn w:val="a"/>
    <w:next w:val="a"/>
    <w:link w:val="a9"/>
    <w:uiPriority w:val="99"/>
    <w:semiHidden/>
    <w:unhideWhenUsed/>
    <w:rsid w:val="00A27226"/>
  </w:style>
  <w:style w:type="character" w:customStyle="1" w:styleId="a9">
    <w:name w:val="日付 (文字)"/>
    <w:basedOn w:val="a0"/>
    <w:link w:val="a8"/>
    <w:uiPriority w:val="99"/>
    <w:semiHidden/>
    <w:rsid w:val="00A27226"/>
    <w:rPr>
      <w:sz w:val="24"/>
    </w:rPr>
  </w:style>
  <w:style w:type="table" w:styleId="aa">
    <w:name w:val="Table Grid"/>
    <w:basedOn w:val="a1"/>
    <w:uiPriority w:val="59"/>
    <w:rsid w:val="00D2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B4A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4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8853">
      <w:bodyDiv w:val="1"/>
      <w:marLeft w:val="0"/>
      <w:marRight w:val="0"/>
      <w:marTop w:val="0"/>
      <w:marBottom w:val="0"/>
      <w:divBdr>
        <w:top w:val="none" w:sz="0" w:space="0" w:color="auto"/>
        <w:left w:val="none" w:sz="0" w:space="0" w:color="auto"/>
        <w:bottom w:val="none" w:sz="0" w:space="0" w:color="auto"/>
        <w:right w:val="none" w:sz="0" w:space="0" w:color="auto"/>
      </w:divBdr>
    </w:div>
    <w:div w:id="975569984">
      <w:bodyDiv w:val="1"/>
      <w:marLeft w:val="0"/>
      <w:marRight w:val="0"/>
      <w:marTop w:val="0"/>
      <w:marBottom w:val="0"/>
      <w:divBdr>
        <w:top w:val="none" w:sz="0" w:space="0" w:color="auto"/>
        <w:left w:val="none" w:sz="0" w:space="0" w:color="auto"/>
        <w:bottom w:val="none" w:sz="0" w:space="0" w:color="auto"/>
        <w:right w:val="none" w:sz="0" w:space="0" w:color="auto"/>
      </w:divBdr>
    </w:div>
    <w:div w:id="19574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F764-01E0-4191-89A3-E6BC81E0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大津 祐輔</cp:lastModifiedBy>
  <cp:revision>49</cp:revision>
  <cp:lastPrinted>2018-08-30T06:12:00Z</cp:lastPrinted>
  <dcterms:created xsi:type="dcterms:W3CDTF">2013-02-05T05:47:00Z</dcterms:created>
  <dcterms:modified xsi:type="dcterms:W3CDTF">2023-04-17T07:43:00Z</dcterms:modified>
</cp:coreProperties>
</file>